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360" w:lineRule="auto"/>
        <w:ind w:left="2561" w:firstLine="0"/>
        <w:rPr>
          <w:color w:val="000000"/>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799" w:line="360" w:lineRule="auto"/>
        <w:jc w:val="center"/>
        <w:rPr>
          <w:i w:val="1"/>
          <w:color w:val="000000"/>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799" w:line="360" w:lineRule="auto"/>
        <w:jc w:val="center"/>
        <w:rPr>
          <w:i w:val="1"/>
          <w:color w:val="000000"/>
        </w:rPr>
      </w:pPr>
      <w:r w:rsidDel="00000000" w:rsidR="00000000" w:rsidRPr="00000000">
        <w:rPr>
          <w:rtl w:val="0"/>
        </w:rPr>
      </w:r>
    </w:p>
    <w:p w:rsidR="00000000" w:rsidDel="00000000" w:rsidP="00000000" w:rsidRDefault="00000000" w:rsidRPr="00000000" w14:paraId="00000004">
      <w:pPr>
        <w:widowControl w:val="0"/>
        <w:spacing w:before="799" w:line="240" w:lineRule="auto"/>
        <w:jc w:val="center"/>
        <w:rPr>
          <w:i w:val="1"/>
          <w:color w:val="000000"/>
        </w:rPr>
      </w:pPr>
      <w:r w:rsidDel="00000000" w:rsidR="00000000" w:rsidRPr="00000000">
        <w:rPr/>
        <w:drawing>
          <wp:inline distB="0" distT="0" distL="0" distR="0">
            <wp:extent cx="2129558" cy="1927860"/>
            <wp:effectExtent b="0" l="0" r="0" t="0"/>
            <wp:docPr descr="C:\Users\Usuario\AppData\Local\Microsoft\Windows\INetCache\Content.Word\COSAVE - Logo.png" id="17" name="image2.png"/>
            <a:graphic>
              <a:graphicData uri="http://schemas.openxmlformats.org/drawingml/2006/picture">
                <pic:pic>
                  <pic:nvPicPr>
                    <pic:cNvPr descr="C:\Users\Usuario\AppData\Local\Microsoft\Windows\INetCache\Content.Word\COSAVE - Logo.png" id="0" name="image2.png"/>
                    <pic:cNvPicPr preferRelativeResize="0"/>
                  </pic:nvPicPr>
                  <pic:blipFill>
                    <a:blip r:embed="rId7"/>
                    <a:srcRect b="0" l="19" r="19" t="0"/>
                    <a:stretch>
                      <a:fillRect/>
                    </a:stretch>
                  </pic:blipFill>
                  <pic:spPr>
                    <a:xfrm>
                      <a:off x="0" y="0"/>
                      <a:ext cx="2129558" cy="192786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spacing w:before="799" w:line="360" w:lineRule="auto"/>
        <w:jc w:val="center"/>
        <w:rPr>
          <w:i w:val="1"/>
          <w:color w:val="000000"/>
        </w:rPr>
      </w:pPr>
      <w:r w:rsidDel="00000000" w:rsidR="00000000" w:rsidRPr="00000000">
        <w:rPr>
          <w:rtl w:val="0"/>
        </w:rPr>
      </w:r>
    </w:p>
    <w:p w:rsidR="00000000" w:rsidDel="00000000" w:rsidP="00000000" w:rsidRDefault="00000000" w:rsidRPr="00000000" w14:paraId="00000006">
      <w:pPr>
        <w:spacing w:line="240" w:lineRule="auto"/>
        <w:jc w:val="center"/>
        <w:rPr>
          <w:b w:val="1"/>
          <w:sz w:val="36"/>
          <w:szCs w:val="36"/>
        </w:rPr>
      </w:pPr>
      <w:r w:rsidDel="00000000" w:rsidR="00000000" w:rsidRPr="00000000">
        <w:rPr>
          <w:b w:val="1"/>
          <w:sz w:val="36"/>
          <w:szCs w:val="36"/>
          <w:rtl w:val="0"/>
        </w:rPr>
        <w:t xml:space="preserve">13. Anexo: Plagas reglamentadas</w:t>
      </w:r>
    </w:p>
    <w:p w:rsidR="00000000" w:rsidDel="00000000" w:rsidP="00000000" w:rsidRDefault="00000000" w:rsidRPr="00000000" w14:paraId="00000007">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8">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9">
      <w:pPr>
        <w:widowControl w:val="0"/>
        <w:spacing w:line="240" w:lineRule="auto"/>
        <w:ind w:left="344" w:firstLine="0"/>
        <w:jc w:val="center"/>
        <w:rPr>
          <w:b w:val="1"/>
          <w:i w:val="1"/>
          <w:sz w:val="36"/>
          <w:szCs w:val="36"/>
        </w:rPr>
      </w:pPr>
      <w:r w:rsidDel="00000000" w:rsidR="00000000" w:rsidRPr="00000000">
        <w:rPr>
          <w:b w:val="1"/>
          <w:i w:val="1"/>
          <w:sz w:val="36"/>
          <w:szCs w:val="36"/>
          <w:rtl w:val="0"/>
        </w:rPr>
        <w:t xml:space="preserve">Didymella maydis</w:t>
      </w:r>
    </w:p>
    <w:p w:rsidR="00000000" w:rsidDel="00000000" w:rsidP="00000000" w:rsidRDefault="00000000" w:rsidRPr="00000000" w14:paraId="0000000A">
      <w:pPr>
        <w:widowControl w:val="0"/>
        <w:spacing w:line="240" w:lineRule="auto"/>
        <w:ind w:left="344" w:firstLine="0"/>
        <w:jc w:val="center"/>
        <w:rPr>
          <w:b w:val="1"/>
          <w:i w:val="1"/>
          <w:sz w:val="32"/>
          <w:szCs w:val="32"/>
        </w:rPr>
      </w:pPr>
      <w:r w:rsidDel="00000000" w:rsidR="00000000" w:rsidRPr="00000000">
        <w:rPr>
          <w:rtl w:val="0"/>
        </w:rPr>
      </w:r>
    </w:p>
    <w:p w:rsidR="00000000" w:rsidDel="00000000" w:rsidP="00000000" w:rsidRDefault="00000000" w:rsidRPr="00000000" w14:paraId="0000000B">
      <w:pPr>
        <w:widowControl w:val="0"/>
        <w:spacing w:line="240" w:lineRule="auto"/>
        <w:ind w:left="344" w:firstLine="0"/>
        <w:jc w:val="center"/>
        <w:rPr>
          <w:b w:val="1"/>
          <w:sz w:val="32"/>
          <w:szCs w:val="32"/>
        </w:rPr>
      </w:pPr>
      <w:r w:rsidDel="00000000" w:rsidR="00000000" w:rsidRPr="00000000">
        <w:rPr>
          <w:rtl w:val="0"/>
        </w:rPr>
      </w:r>
    </w:p>
    <w:p w:rsidR="00000000" w:rsidDel="00000000" w:rsidP="00000000" w:rsidRDefault="00000000" w:rsidRPr="00000000" w14:paraId="0000000C">
      <w:pPr>
        <w:widowControl w:val="0"/>
        <w:spacing w:line="240" w:lineRule="auto"/>
        <w:ind w:left="344" w:firstLine="0"/>
        <w:jc w:val="center"/>
        <w:rPr>
          <w:b w:val="1"/>
          <w:i w:val="1"/>
          <w:sz w:val="32"/>
          <w:szCs w:val="32"/>
        </w:rPr>
      </w:pPr>
      <w:r w:rsidDel="00000000" w:rsidR="00000000" w:rsidRPr="00000000">
        <w:rPr>
          <w:b w:val="1"/>
          <w:sz w:val="32"/>
          <w:szCs w:val="32"/>
          <w:rtl w:val="0"/>
        </w:rPr>
        <w:t xml:space="preserve">Julio 2023</w:t>
      </w:r>
      <w:r w:rsidDel="00000000" w:rsidR="00000000" w:rsidRPr="00000000">
        <w:rPr>
          <w:rtl w:val="0"/>
        </w:rPr>
      </w:r>
    </w:p>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rtl w:val="0"/>
        </w:rPr>
      </w:r>
    </w:p>
    <w:p w:rsidR="00000000" w:rsidDel="00000000" w:rsidP="00000000" w:rsidRDefault="00000000" w:rsidRPr="00000000" w14:paraId="0000000E">
      <w:pPr>
        <w:widowControl w:val="0"/>
        <w:pBdr>
          <w:top w:space="0" w:sz="0" w:val="nil"/>
          <w:left w:space="0" w:sz="0" w:val="nil"/>
          <w:bottom w:space="0" w:sz="0" w:val="nil"/>
          <w:right w:space="0" w:sz="0" w:val="nil"/>
          <w:between w:space="0" w:sz="0" w:val="nil"/>
        </w:pBdr>
        <w:spacing w:line="360" w:lineRule="auto"/>
        <w:ind w:left="344" w:firstLine="0"/>
        <w:rPr>
          <w:color w:val="000000"/>
        </w:rPr>
      </w:pPr>
      <w:r w:rsidDel="00000000" w:rsidR="00000000" w:rsidRPr="00000000">
        <w:rPr>
          <w:rtl w:val="0"/>
        </w:rPr>
      </w:r>
    </w:p>
    <w:p w:rsidR="00000000" w:rsidDel="00000000" w:rsidP="00000000" w:rsidRDefault="00000000" w:rsidRPr="00000000" w14:paraId="0000000F">
      <w:pPr>
        <w:widowControl w:val="0"/>
        <w:pBdr>
          <w:top w:space="0" w:sz="0" w:val="nil"/>
          <w:left w:space="0" w:sz="0" w:val="nil"/>
          <w:bottom w:space="0" w:sz="0" w:val="nil"/>
          <w:right w:space="0" w:sz="0" w:val="nil"/>
          <w:between w:space="0" w:sz="0" w:val="nil"/>
        </w:pBdr>
        <w:spacing w:line="360" w:lineRule="auto"/>
        <w:ind w:left="344" w:firstLine="0"/>
        <w:rPr>
          <w:color w:val="000000"/>
        </w:rPr>
      </w:pPr>
      <w:r w:rsidDel="00000000" w:rsidR="00000000" w:rsidRPr="00000000">
        <w:rPr>
          <w:rtl w:val="0"/>
        </w:rPr>
      </w:r>
    </w:p>
    <w:p w:rsidR="00000000" w:rsidDel="00000000" w:rsidP="00000000" w:rsidRDefault="00000000" w:rsidRPr="00000000" w14:paraId="00000010">
      <w:pPr>
        <w:widowControl w:val="0"/>
        <w:pBdr>
          <w:top w:space="0" w:sz="0" w:val="nil"/>
          <w:left w:space="0" w:sz="0" w:val="nil"/>
          <w:bottom w:space="0" w:sz="0" w:val="nil"/>
          <w:right w:space="0" w:sz="0" w:val="nil"/>
          <w:between w:space="0" w:sz="0" w:val="nil"/>
        </w:pBdr>
        <w:spacing w:line="360" w:lineRule="auto"/>
        <w:ind w:left="344" w:firstLine="0"/>
        <w:rPr>
          <w:color w:val="000000"/>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line="360" w:lineRule="auto"/>
        <w:ind w:left="344" w:firstLine="0"/>
        <w:rPr>
          <w:color w:val="000000"/>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360" w:lineRule="auto"/>
        <w:ind w:left="344" w:firstLine="0"/>
        <w:rPr>
          <w:color w:val="000000"/>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360" w:lineRule="auto"/>
        <w:ind w:left="344" w:firstLine="0"/>
        <w:rPr/>
      </w:pPr>
      <w:r w:rsidDel="00000000" w:rsidR="00000000" w:rsidRPr="00000000">
        <w:rPr>
          <w:rtl w:val="0"/>
        </w:rPr>
      </w:r>
    </w:p>
    <w:p w:rsidR="00000000" w:rsidDel="00000000" w:rsidP="00000000" w:rsidRDefault="00000000" w:rsidRPr="00000000" w14:paraId="00000014">
      <w:pPr>
        <w:rPr>
          <w:b w:val="1"/>
          <w:sz w:val="24"/>
          <w:szCs w:val="24"/>
        </w:rPr>
      </w:pPr>
      <w:r w:rsidDel="00000000" w:rsidR="00000000" w:rsidRPr="00000000">
        <w:rPr>
          <w:b w:val="1"/>
          <w:sz w:val="24"/>
          <w:szCs w:val="24"/>
          <w:rtl w:val="0"/>
        </w:rPr>
        <w:t xml:space="preserve">Tabla de contenido</w:t>
      </w:r>
    </w:p>
    <w:p w:rsidR="00000000" w:rsidDel="00000000" w:rsidP="00000000" w:rsidRDefault="00000000" w:rsidRPr="00000000" w14:paraId="00000015">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gjdgxs">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Descripción técnica de la plaga</w:t>
              <w:tab/>
              <w:t xml:space="preserve">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Denominación de la enfermedad</w:t>
              <w:tab/>
              <w:t xml:space="preserve">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rslmcorj40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Agente etiológico</w:t>
              <w:tab/>
              <w:t xml:space="preserve">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oq3q99r2k6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Hospedantes / Especies afectadas</w:t>
              <w:tab/>
              <w:t xml:space="preserve">3</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x191mhhrup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Ciclo de la enfermedad </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luo3bhw8ov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 Transmisión y supervivencia</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31cnwhs822l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Incidencia</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x5hwvpxq58l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Síntomas asociados a los distintos órganos y estadios fenológicos</w:t>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9dmvma5rp88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 Comportamiento y distribución en los lotes</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wj69tklnh7m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 Similitudes con otros patógenos</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ly7gklyas5l">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Bibliografía</w:t>
              <w:tab/>
              <w:t xml:space="preserve">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swd5h6i42dq">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Anexo: Figuras</w:t>
              <w:tab/>
              <w:t xml:space="preserve">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2">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3">
      <w:pPr>
        <w:widowControl w:val="0"/>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24">
      <w:pPr>
        <w:widowControl w:val="0"/>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360" w:lineRule="auto"/>
        <w:ind w:left="0" w:firstLine="0"/>
        <w:rPr>
          <w:color w:val="000000"/>
        </w:rPr>
      </w:pPr>
      <w:r w:rsidDel="00000000" w:rsidR="00000000" w:rsidRPr="00000000">
        <w:rPr>
          <w:rtl w:val="0"/>
        </w:rPr>
      </w:r>
    </w:p>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360" w:lineRule="auto"/>
        <w:ind w:left="344" w:firstLine="0"/>
        <w:rPr>
          <w:color w:val="000000"/>
        </w:rPr>
      </w:pPr>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360" w:lineRule="auto"/>
        <w:ind w:left="344" w:firstLine="0"/>
        <w:rPr>
          <w:color w:val="000000"/>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360" w:lineRule="auto"/>
        <w:ind w:left="344" w:firstLine="0"/>
        <w:rPr>
          <w:color w:val="000000"/>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360" w:lineRule="auto"/>
        <w:ind w:left="344" w:firstLine="0"/>
        <w:rPr>
          <w:color w:val="000000"/>
        </w:rPr>
      </w:pPr>
      <w:r w:rsidDel="00000000" w:rsidR="00000000" w:rsidRPr="00000000">
        <w:rPr>
          <w:rtl w:val="0"/>
        </w:rPr>
      </w:r>
    </w:p>
    <w:p w:rsidR="00000000" w:rsidDel="00000000" w:rsidP="00000000" w:rsidRDefault="00000000" w:rsidRPr="00000000" w14:paraId="0000002A">
      <w:pPr>
        <w:spacing w:line="360"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2B">
      <w:pPr>
        <w:pStyle w:val="Heading1"/>
        <w:keepNext w:val="1"/>
        <w:keepLines w:val="1"/>
        <w:spacing w:after="200" w:before="480" w:lineRule="auto"/>
        <w:rPr>
          <w:sz w:val="28"/>
          <w:szCs w:val="28"/>
          <w:vertAlign w:val="baseline"/>
        </w:rPr>
      </w:pPr>
      <w:bookmarkStart w:colFirst="0" w:colLast="0" w:name="_heading=h.gjdgxs" w:id="0"/>
      <w:bookmarkEnd w:id="0"/>
      <w:r w:rsidDel="00000000" w:rsidR="00000000" w:rsidRPr="00000000">
        <w:rPr>
          <w:sz w:val="28"/>
          <w:szCs w:val="28"/>
          <w:vertAlign w:val="baseline"/>
          <w:rtl w:val="0"/>
        </w:rPr>
        <w:t xml:space="preserve">1. Descripción técnica de la plaga</w:t>
      </w:r>
    </w:p>
    <w:p w:rsidR="00000000" w:rsidDel="00000000" w:rsidP="00000000" w:rsidRDefault="00000000" w:rsidRPr="00000000" w14:paraId="0000002C">
      <w:pPr>
        <w:pStyle w:val="Heading2"/>
        <w:keepNext w:val="1"/>
        <w:keepLines w:val="1"/>
        <w:spacing w:after="200" w:before="360" w:lineRule="auto"/>
        <w:rPr>
          <w:sz w:val="24"/>
          <w:szCs w:val="24"/>
          <w:vertAlign w:val="baseline"/>
        </w:rPr>
      </w:pPr>
      <w:bookmarkStart w:colFirst="0" w:colLast="0" w:name="_heading=h.30j0zll" w:id="1"/>
      <w:bookmarkEnd w:id="1"/>
      <w:r w:rsidDel="00000000" w:rsidR="00000000" w:rsidRPr="00000000">
        <w:rPr>
          <w:sz w:val="24"/>
          <w:szCs w:val="24"/>
          <w:vertAlign w:val="baseline"/>
          <w:rtl w:val="0"/>
        </w:rPr>
        <w:t xml:space="preserve">1.1 Denominación de la enfermedad</w:t>
      </w:r>
    </w:p>
    <w:p w:rsidR="00000000" w:rsidDel="00000000" w:rsidP="00000000" w:rsidRDefault="00000000" w:rsidRPr="00000000" w14:paraId="0000002D">
      <w:pPr>
        <w:spacing w:line="360" w:lineRule="auto"/>
        <w:rPr>
          <w:color w:val="000000"/>
          <w:sz w:val="24"/>
          <w:szCs w:val="24"/>
        </w:rPr>
      </w:pPr>
      <w:r w:rsidDel="00000000" w:rsidR="00000000" w:rsidRPr="00000000">
        <w:rPr>
          <w:b w:val="1"/>
          <w:sz w:val="24"/>
          <w:szCs w:val="24"/>
          <w:rtl w:val="0"/>
        </w:rPr>
        <w:t xml:space="preserve">Español:</w:t>
      </w:r>
      <w:r w:rsidDel="00000000" w:rsidR="00000000" w:rsidRPr="00000000">
        <w:rPr>
          <w:sz w:val="24"/>
          <w:szCs w:val="24"/>
          <w:rtl w:val="0"/>
        </w:rPr>
        <w:t xml:space="preserve"> </w:t>
      </w:r>
      <w:r w:rsidDel="00000000" w:rsidR="00000000" w:rsidRPr="00000000">
        <w:rPr>
          <w:color w:val="000000"/>
          <w:sz w:val="24"/>
          <w:szCs w:val="24"/>
          <w:rtl w:val="0"/>
        </w:rPr>
        <w:t xml:space="preserve">Tizón de las hojas amarillas del maíz</w:t>
      </w:r>
    </w:p>
    <w:p w:rsidR="00000000" w:rsidDel="00000000" w:rsidP="00000000" w:rsidRDefault="00000000" w:rsidRPr="00000000" w14:paraId="0000002E">
      <w:pPr>
        <w:spacing w:line="360" w:lineRule="auto"/>
        <w:rPr>
          <w:sz w:val="24"/>
          <w:szCs w:val="24"/>
        </w:rPr>
      </w:pPr>
      <w:r w:rsidDel="00000000" w:rsidR="00000000" w:rsidRPr="00000000">
        <w:rPr>
          <w:rtl w:val="0"/>
        </w:rPr>
      </w:r>
    </w:p>
    <w:p w:rsidR="00000000" w:rsidDel="00000000" w:rsidP="00000000" w:rsidRDefault="00000000" w:rsidRPr="00000000" w14:paraId="0000002F">
      <w:pPr>
        <w:pStyle w:val="Heading3"/>
        <w:keepNext w:val="1"/>
        <w:keepLines w:val="1"/>
        <w:spacing w:after="200" w:before="280" w:lineRule="auto"/>
        <w:rPr>
          <w:sz w:val="24"/>
          <w:szCs w:val="24"/>
          <w:vertAlign w:val="baseline"/>
        </w:rPr>
      </w:pPr>
      <w:bookmarkStart w:colFirst="0" w:colLast="0" w:name="_heading=h.rslmcorj40rz" w:id="2"/>
      <w:bookmarkEnd w:id="2"/>
      <w:r w:rsidDel="00000000" w:rsidR="00000000" w:rsidRPr="00000000">
        <w:rPr>
          <w:sz w:val="24"/>
          <w:szCs w:val="24"/>
          <w:vertAlign w:val="baseline"/>
          <w:rtl w:val="0"/>
        </w:rPr>
        <w:t xml:space="preserve">1.1.1 Agente etiológico</w:t>
      </w:r>
    </w:p>
    <w:p w:rsidR="00000000" w:rsidDel="00000000" w:rsidP="00000000" w:rsidRDefault="00000000" w:rsidRPr="00000000" w14:paraId="00000030">
      <w:pPr>
        <w:spacing w:line="360" w:lineRule="auto"/>
        <w:jc w:val="both"/>
        <w:rPr>
          <w:color w:val="1d1d1d"/>
          <w:sz w:val="24"/>
          <w:szCs w:val="24"/>
          <w:highlight w:val="white"/>
        </w:rPr>
      </w:pPr>
      <w:r w:rsidDel="00000000" w:rsidR="00000000" w:rsidRPr="00000000">
        <w:rPr>
          <w:b w:val="1"/>
          <w:color w:val="000000"/>
          <w:sz w:val="24"/>
          <w:szCs w:val="24"/>
          <w:rtl w:val="0"/>
        </w:rPr>
        <w:t xml:space="preserve">Nombre preferido:</w:t>
      </w:r>
      <w:r w:rsidDel="00000000" w:rsidR="00000000" w:rsidRPr="00000000">
        <w:rPr>
          <w:color w:val="000000"/>
          <w:sz w:val="24"/>
          <w:szCs w:val="24"/>
          <w:rtl w:val="0"/>
        </w:rPr>
        <w:t xml:space="preserve"> </w:t>
      </w:r>
      <w:r w:rsidDel="00000000" w:rsidR="00000000" w:rsidRPr="00000000">
        <w:rPr>
          <w:i w:val="1"/>
          <w:color w:val="1d1d1d"/>
          <w:sz w:val="24"/>
          <w:szCs w:val="24"/>
          <w:highlight w:val="white"/>
          <w:rtl w:val="0"/>
        </w:rPr>
        <w:t xml:space="preserve">Didymella maydis</w:t>
      </w:r>
      <w:r w:rsidDel="00000000" w:rsidR="00000000" w:rsidRPr="00000000">
        <w:rPr>
          <w:b w:val="1"/>
          <w:i w:val="1"/>
          <w:color w:val="1d1d1d"/>
          <w:sz w:val="24"/>
          <w:szCs w:val="24"/>
          <w:highlight w:val="white"/>
          <w:rtl w:val="0"/>
        </w:rPr>
        <w:t xml:space="preserve">, </w:t>
      </w:r>
      <w:r w:rsidDel="00000000" w:rsidR="00000000" w:rsidRPr="00000000">
        <w:rPr>
          <w:color w:val="1d1d1d"/>
          <w:sz w:val="24"/>
          <w:szCs w:val="24"/>
          <w:highlight w:val="white"/>
          <w:rtl w:val="0"/>
        </w:rPr>
        <w:t xml:space="preserve">(Arny &amp; R.R. Nelson) Qian Chen &amp; L. Cai (2015)</w:t>
      </w:r>
    </w:p>
    <w:p w:rsidR="00000000" w:rsidDel="00000000" w:rsidP="00000000" w:rsidRDefault="00000000" w:rsidRPr="00000000" w14:paraId="00000031">
      <w:pPr>
        <w:spacing w:line="360" w:lineRule="auto"/>
        <w:jc w:val="both"/>
        <w:rPr>
          <w:b w:val="1"/>
          <w:sz w:val="24"/>
          <w:szCs w:val="24"/>
          <w:shd w:fill="cccccc" w:val="clear"/>
        </w:rPr>
      </w:pPr>
      <w:r w:rsidDel="00000000" w:rsidR="00000000" w:rsidRPr="00000000">
        <w:rPr>
          <w:rtl w:val="0"/>
        </w:rPr>
      </w:r>
    </w:p>
    <w:p w:rsidR="00000000" w:rsidDel="00000000" w:rsidP="00000000" w:rsidRDefault="00000000" w:rsidRPr="00000000" w14:paraId="00000032">
      <w:pPr>
        <w:widowControl w:val="0"/>
        <w:tabs>
          <w:tab w:val="left" w:leader="none" w:pos="851"/>
          <w:tab w:val="left" w:leader="none" w:pos="2802"/>
        </w:tabs>
        <w:spacing w:line="240" w:lineRule="auto"/>
        <w:jc w:val="both"/>
        <w:rPr>
          <w:i w:val="1"/>
          <w:sz w:val="24"/>
          <w:szCs w:val="24"/>
          <w:highlight w:val="white"/>
        </w:rPr>
      </w:pPr>
      <w:r w:rsidDel="00000000" w:rsidR="00000000" w:rsidRPr="00000000">
        <w:rPr>
          <w:b w:val="1"/>
          <w:sz w:val="24"/>
          <w:szCs w:val="24"/>
          <w:rtl w:val="0"/>
        </w:rPr>
        <w:t xml:space="preserve">Sinonimia: </w:t>
      </w:r>
      <w:r w:rsidDel="00000000" w:rsidR="00000000" w:rsidRPr="00000000">
        <w:rPr>
          <w:i w:val="1"/>
          <w:sz w:val="24"/>
          <w:szCs w:val="24"/>
          <w:highlight w:val="white"/>
          <w:rtl w:val="0"/>
        </w:rPr>
        <w:t xml:space="preserve">  Didymella zeae-maydis</w:t>
      </w:r>
    </w:p>
    <w:p w:rsidR="00000000" w:rsidDel="00000000" w:rsidP="00000000" w:rsidRDefault="00000000" w:rsidRPr="00000000" w14:paraId="00000033">
      <w:pPr>
        <w:widowControl w:val="0"/>
        <w:tabs>
          <w:tab w:val="left" w:leader="none" w:pos="851"/>
          <w:tab w:val="left" w:leader="none" w:pos="2802"/>
        </w:tabs>
        <w:spacing w:line="240" w:lineRule="auto"/>
        <w:jc w:val="both"/>
        <w:rPr>
          <w:i w:val="1"/>
          <w:sz w:val="24"/>
          <w:szCs w:val="24"/>
        </w:rPr>
      </w:pPr>
      <w:r w:rsidDel="00000000" w:rsidR="00000000" w:rsidRPr="00000000">
        <w:rPr>
          <w:i w:val="1"/>
          <w:sz w:val="24"/>
          <w:szCs w:val="24"/>
          <w:rtl w:val="0"/>
        </w:rPr>
        <w:tab/>
        <w:t xml:space="preserve">        Mycosphaerella zeae-maydis</w:t>
      </w:r>
    </w:p>
    <w:p w:rsidR="00000000" w:rsidDel="00000000" w:rsidP="00000000" w:rsidRDefault="00000000" w:rsidRPr="00000000" w14:paraId="00000034">
      <w:pPr>
        <w:widowControl w:val="0"/>
        <w:tabs>
          <w:tab w:val="left" w:leader="none" w:pos="851"/>
          <w:tab w:val="left" w:leader="none" w:pos="2802"/>
        </w:tabs>
        <w:spacing w:line="240" w:lineRule="auto"/>
        <w:ind w:left="1418" w:firstLine="0"/>
        <w:jc w:val="both"/>
        <w:rPr>
          <w:sz w:val="24"/>
          <w:szCs w:val="24"/>
        </w:rPr>
      </w:pPr>
      <w:r w:rsidDel="00000000" w:rsidR="00000000" w:rsidRPr="00000000">
        <w:rPr>
          <w:i w:val="1"/>
          <w:sz w:val="24"/>
          <w:szCs w:val="24"/>
          <w:rtl w:val="0"/>
        </w:rPr>
        <w:t xml:space="preserve">Peyronellaea zeae-maydis</w:t>
      </w:r>
      <w:r w:rsidDel="00000000" w:rsidR="00000000" w:rsidRPr="00000000">
        <w:rPr>
          <w:rtl w:val="0"/>
        </w:rPr>
      </w:r>
    </w:p>
    <w:p w:rsidR="00000000" w:rsidDel="00000000" w:rsidP="00000000" w:rsidRDefault="00000000" w:rsidRPr="00000000" w14:paraId="00000035">
      <w:pPr>
        <w:widowControl w:val="0"/>
        <w:tabs>
          <w:tab w:val="left" w:leader="none" w:pos="851"/>
          <w:tab w:val="left" w:leader="none" w:pos="2802"/>
        </w:tabs>
        <w:spacing w:line="240" w:lineRule="auto"/>
        <w:ind w:left="1418" w:firstLine="0"/>
        <w:jc w:val="both"/>
        <w:rPr>
          <w:sz w:val="24"/>
          <w:szCs w:val="24"/>
        </w:rPr>
      </w:pPr>
      <w:r w:rsidDel="00000000" w:rsidR="00000000" w:rsidRPr="00000000">
        <w:rPr>
          <w:i w:val="1"/>
          <w:sz w:val="24"/>
          <w:szCs w:val="24"/>
          <w:rtl w:val="0"/>
        </w:rPr>
        <w:t xml:space="preserve">Peyronellaea </w:t>
      </w:r>
      <w:r w:rsidDel="00000000" w:rsidR="00000000" w:rsidRPr="00000000">
        <w:rPr>
          <w:sz w:val="24"/>
          <w:szCs w:val="24"/>
          <w:rtl w:val="0"/>
        </w:rPr>
        <w:t xml:space="preserve">maydis</w:t>
      </w:r>
    </w:p>
    <w:p w:rsidR="00000000" w:rsidDel="00000000" w:rsidP="00000000" w:rsidRDefault="00000000" w:rsidRPr="00000000" w14:paraId="00000036">
      <w:pPr>
        <w:widowControl w:val="0"/>
        <w:tabs>
          <w:tab w:val="left" w:leader="none" w:pos="851"/>
          <w:tab w:val="left" w:leader="none" w:pos="2802"/>
        </w:tabs>
        <w:spacing w:line="240" w:lineRule="auto"/>
        <w:ind w:left="1418" w:firstLine="0"/>
        <w:jc w:val="both"/>
        <w:rPr>
          <w:i w:val="1"/>
          <w:sz w:val="24"/>
          <w:szCs w:val="24"/>
        </w:rPr>
      </w:pPr>
      <w:hyperlink r:id="rId8">
        <w:r w:rsidDel="00000000" w:rsidR="00000000" w:rsidRPr="00000000">
          <w:rPr>
            <w:i w:val="1"/>
            <w:sz w:val="24"/>
            <w:szCs w:val="24"/>
            <w:rtl w:val="0"/>
          </w:rPr>
          <w:t xml:space="preserve">Phyllosticta maydis </w:t>
        </w:r>
      </w:hyperlink>
      <w:r w:rsidDel="00000000" w:rsidR="00000000" w:rsidRPr="00000000">
        <w:rPr>
          <w:i w:val="1"/>
          <w:sz w:val="24"/>
          <w:szCs w:val="24"/>
          <w:rtl w:val="0"/>
        </w:rPr>
        <w:t xml:space="preserve"> </w:t>
      </w:r>
    </w:p>
    <w:p w:rsidR="00000000" w:rsidDel="00000000" w:rsidP="00000000" w:rsidRDefault="00000000" w:rsidRPr="00000000" w14:paraId="00000037">
      <w:pPr>
        <w:widowControl w:val="0"/>
        <w:tabs>
          <w:tab w:val="left" w:leader="none" w:pos="851"/>
          <w:tab w:val="left" w:leader="none" w:pos="2802"/>
        </w:tabs>
        <w:spacing w:line="240" w:lineRule="auto"/>
        <w:ind w:left="1418" w:firstLine="0"/>
        <w:jc w:val="both"/>
        <w:rPr>
          <w:sz w:val="24"/>
          <w:szCs w:val="24"/>
        </w:rPr>
      </w:pPr>
      <w:hyperlink r:id="rId9">
        <w:r w:rsidDel="00000000" w:rsidR="00000000" w:rsidRPr="00000000">
          <w:rPr>
            <w:i w:val="1"/>
            <w:sz w:val="24"/>
            <w:szCs w:val="24"/>
            <w:rtl w:val="0"/>
          </w:rPr>
          <w:t xml:space="preserve">Phoma</w:t>
        </w:r>
      </w:hyperlink>
      <w:r w:rsidDel="00000000" w:rsidR="00000000" w:rsidRPr="00000000">
        <w:rPr>
          <w:i w:val="1"/>
          <w:sz w:val="24"/>
          <w:szCs w:val="24"/>
          <w:rtl w:val="0"/>
        </w:rPr>
        <w:t xml:space="preserve"> zeae-maydis</w:t>
      </w:r>
      <w:r w:rsidDel="00000000" w:rsidR="00000000" w:rsidRPr="00000000">
        <w:rPr>
          <w:rtl w:val="0"/>
        </w:rPr>
      </w:r>
    </w:p>
    <w:p w:rsidR="00000000" w:rsidDel="00000000" w:rsidP="00000000" w:rsidRDefault="00000000" w:rsidRPr="00000000" w14:paraId="00000038">
      <w:pPr>
        <w:widowControl w:val="0"/>
        <w:tabs>
          <w:tab w:val="left" w:leader="none" w:pos="851"/>
          <w:tab w:val="left" w:leader="none" w:pos="2802"/>
        </w:tabs>
        <w:spacing w:line="240" w:lineRule="auto"/>
        <w:ind w:left="1418" w:firstLine="0"/>
        <w:jc w:val="both"/>
        <w:rPr>
          <w:i w:val="1"/>
          <w:sz w:val="24"/>
          <w:szCs w:val="24"/>
        </w:rPr>
      </w:pPr>
      <w:hyperlink r:id="rId10">
        <w:r w:rsidDel="00000000" w:rsidR="00000000" w:rsidRPr="00000000">
          <w:rPr>
            <w:i w:val="1"/>
            <w:sz w:val="24"/>
            <w:szCs w:val="24"/>
            <w:rtl w:val="0"/>
          </w:rPr>
          <w:t xml:space="preserve">Phoma maydis </w:t>
        </w:r>
      </w:hyperlink>
      <w:r w:rsidDel="00000000" w:rsidR="00000000" w:rsidRPr="00000000">
        <w:rPr>
          <w:i w:val="1"/>
          <w:sz w:val="24"/>
          <w:szCs w:val="24"/>
          <w:rtl w:val="0"/>
        </w:rPr>
        <w:t xml:space="preserve"> </w:t>
      </w:r>
    </w:p>
    <w:p w:rsidR="00000000" w:rsidDel="00000000" w:rsidP="00000000" w:rsidRDefault="00000000" w:rsidRPr="00000000" w14:paraId="00000039">
      <w:pPr>
        <w:spacing w:line="360" w:lineRule="auto"/>
        <w:ind w:left="1418" w:firstLine="510"/>
        <w:jc w:val="both"/>
        <w:rPr>
          <w:sz w:val="24"/>
          <w:szCs w:val="24"/>
        </w:rPr>
      </w:pPr>
      <w:r w:rsidDel="00000000" w:rsidR="00000000" w:rsidRPr="00000000">
        <w:rPr>
          <w:rtl w:val="0"/>
        </w:rPr>
      </w:r>
    </w:p>
    <w:p w:rsidR="00000000" w:rsidDel="00000000" w:rsidP="00000000" w:rsidRDefault="00000000" w:rsidRPr="00000000" w14:paraId="0000003A">
      <w:pPr>
        <w:spacing w:line="360" w:lineRule="auto"/>
        <w:jc w:val="both"/>
        <w:rPr>
          <w:b w:val="1"/>
          <w:color w:val="000000"/>
          <w:sz w:val="24"/>
          <w:szCs w:val="24"/>
        </w:rPr>
      </w:pPr>
      <w:r w:rsidDel="00000000" w:rsidR="00000000" w:rsidRPr="00000000">
        <w:rPr>
          <w:b w:val="1"/>
          <w:color w:val="000000"/>
          <w:sz w:val="24"/>
          <w:szCs w:val="24"/>
          <w:rtl w:val="0"/>
        </w:rPr>
        <w:t xml:space="preserve">Categorización taxonómica: </w:t>
      </w:r>
    </w:p>
    <w:p w:rsidR="00000000" w:rsidDel="00000000" w:rsidP="00000000" w:rsidRDefault="00000000" w:rsidRPr="00000000" w14:paraId="0000003B">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Clase: Dothideomycetes </w:t>
      </w:r>
    </w:p>
    <w:p w:rsidR="00000000" w:rsidDel="00000000" w:rsidP="00000000" w:rsidRDefault="00000000" w:rsidRPr="00000000" w14:paraId="0000003C">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Subclase: Pleosporomycetidae</w:t>
      </w:r>
    </w:p>
    <w:p w:rsidR="00000000" w:rsidDel="00000000" w:rsidP="00000000" w:rsidRDefault="00000000" w:rsidRPr="00000000" w14:paraId="0000003D">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Orden: Pleosporales</w:t>
      </w:r>
    </w:p>
    <w:p w:rsidR="00000000" w:rsidDel="00000000" w:rsidP="00000000" w:rsidRDefault="00000000" w:rsidRPr="00000000" w14:paraId="0000003E">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Familia: Didymellaceae</w:t>
      </w:r>
    </w:p>
    <w:p w:rsidR="00000000" w:rsidDel="00000000" w:rsidP="00000000" w:rsidRDefault="00000000" w:rsidRPr="00000000" w14:paraId="0000003F">
      <w:pPr>
        <w:widowControl w:val="0"/>
        <w:tabs>
          <w:tab w:val="left" w:leader="none" w:pos="851"/>
          <w:tab w:val="left" w:leader="none" w:pos="2802"/>
        </w:tabs>
        <w:spacing w:line="240" w:lineRule="auto"/>
        <w:jc w:val="both"/>
        <w:rPr>
          <w:i w:val="1"/>
          <w:sz w:val="24"/>
          <w:szCs w:val="24"/>
        </w:rPr>
      </w:pPr>
      <w:r w:rsidDel="00000000" w:rsidR="00000000" w:rsidRPr="00000000">
        <w:rPr>
          <w:sz w:val="24"/>
          <w:szCs w:val="24"/>
          <w:rtl w:val="0"/>
        </w:rPr>
        <w:t xml:space="preserve">Género: </w:t>
      </w:r>
      <w:r w:rsidDel="00000000" w:rsidR="00000000" w:rsidRPr="00000000">
        <w:rPr>
          <w:i w:val="1"/>
          <w:sz w:val="24"/>
          <w:szCs w:val="24"/>
          <w:rtl w:val="0"/>
        </w:rPr>
        <w:t xml:space="preserve">Didymella</w:t>
      </w:r>
    </w:p>
    <w:p w:rsidR="00000000" w:rsidDel="00000000" w:rsidP="00000000" w:rsidRDefault="00000000" w:rsidRPr="00000000" w14:paraId="00000040">
      <w:pPr>
        <w:widowControl w:val="0"/>
        <w:tabs>
          <w:tab w:val="left" w:leader="none" w:pos="851"/>
          <w:tab w:val="left" w:leader="none" w:pos="2802"/>
        </w:tabs>
        <w:spacing w:line="240" w:lineRule="auto"/>
        <w:jc w:val="both"/>
        <w:rPr>
          <w:i w:val="1"/>
          <w:sz w:val="24"/>
          <w:szCs w:val="24"/>
        </w:rPr>
      </w:pPr>
      <w:r w:rsidDel="00000000" w:rsidR="00000000" w:rsidRPr="00000000">
        <w:rPr>
          <w:sz w:val="24"/>
          <w:szCs w:val="24"/>
          <w:rtl w:val="0"/>
        </w:rPr>
        <w:t xml:space="preserve">Especie: </w:t>
      </w:r>
      <w:r w:rsidDel="00000000" w:rsidR="00000000" w:rsidRPr="00000000">
        <w:rPr>
          <w:i w:val="1"/>
          <w:sz w:val="24"/>
          <w:szCs w:val="24"/>
          <w:rtl w:val="0"/>
        </w:rPr>
        <w:t xml:space="preserve">Didymella maydis</w:t>
      </w:r>
    </w:p>
    <w:p w:rsidR="00000000" w:rsidDel="00000000" w:rsidP="00000000" w:rsidRDefault="00000000" w:rsidRPr="00000000" w14:paraId="00000041">
      <w:pPr>
        <w:widowControl w:val="0"/>
        <w:tabs>
          <w:tab w:val="left" w:leader="none" w:pos="851"/>
          <w:tab w:val="left" w:leader="none" w:pos="2802"/>
        </w:tabs>
        <w:spacing w:line="360" w:lineRule="auto"/>
        <w:jc w:val="both"/>
        <w:rPr>
          <w:i w:val="1"/>
          <w:sz w:val="24"/>
          <w:szCs w:val="24"/>
        </w:rPr>
      </w:pPr>
      <w:r w:rsidDel="00000000" w:rsidR="00000000" w:rsidRPr="00000000">
        <w:rPr>
          <w:rtl w:val="0"/>
        </w:rPr>
      </w:r>
    </w:p>
    <w:p w:rsidR="00000000" w:rsidDel="00000000" w:rsidP="00000000" w:rsidRDefault="00000000" w:rsidRPr="00000000" w14:paraId="00000042">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poq3q99r2k62" w:id="3"/>
      <w:bookmarkEnd w:id="3"/>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Hospedantes / Especies afectadas</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40" w:lineRule="auto"/>
        <w:rPr>
          <w:i w:val="1"/>
          <w:color w:val="222222"/>
          <w:sz w:val="24"/>
          <w:szCs w:val="24"/>
        </w:rPr>
      </w:pPr>
      <w:hyperlink r:id="rId11">
        <w:r w:rsidDel="00000000" w:rsidR="00000000" w:rsidRPr="00000000">
          <w:rPr>
            <w:i w:val="1"/>
            <w:color w:val="222222"/>
            <w:sz w:val="24"/>
            <w:szCs w:val="24"/>
            <w:rtl w:val="0"/>
          </w:rPr>
          <w:t xml:space="preserve">Zea mays</w:t>
        </w:r>
      </w:hyperlink>
      <w:r w:rsidDel="00000000" w:rsidR="00000000" w:rsidRPr="00000000">
        <w:rPr>
          <w:i w:val="1"/>
          <w:color w:val="222222"/>
          <w:sz w:val="24"/>
          <w:szCs w:val="24"/>
          <w:rtl w:val="0"/>
        </w:rPr>
        <w:t xml:space="preserve">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i w:val="1"/>
          <w:color w:val="222222"/>
          <w:sz w:val="24"/>
          <w:szCs w:val="24"/>
          <w:rtl w:val="0"/>
        </w:rPr>
        <w:t xml:space="preserve">Sorghum vulgare var. sudanense</w:t>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40" w:lineRule="auto"/>
        <w:rPr>
          <w:color w:val="000000"/>
          <w:sz w:val="24"/>
          <w:szCs w:val="24"/>
        </w:rPr>
      </w:pPr>
      <w:r w:rsidDel="00000000" w:rsidR="00000000" w:rsidRPr="00000000">
        <w:rPr>
          <w:i w:val="1"/>
          <w:color w:val="222222"/>
          <w:sz w:val="24"/>
          <w:szCs w:val="24"/>
          <w:rtl w:val="0"/>
        </w:rPr>
        <w:t xml:space="preserve">Setaria </w:t>
      </w:r>
      <w:r w:rsidDel="00000000" w:rsidR="00000000" w:rsidRPr="00000000">
        <w:rPr>
          <w:color w:val="222222"/>
          <w:sz w:val="24"/>
          <w:szCs w:val="24"/>
          <w:rtl w:val="0"/>
        </w:rPr>
        <w:t xml:space="preserve">spp</w:t>
      </w:r>
      <w:r w:rsidDel="00000000" w:rsidR="00000000" w:rsidRPr="00000000">
        <w:rPr>
          <w:i w:val="1"/>
          <w:color w:val="222222"/>
          <w:sz w:val="24"/>
          <w:szCs w:val="24"/>
          <w:rtl w:val="0"/>
        </w:rPr>
        <w:t xml:space="preserve">.</w:t>
      </w:r>
      <w:r w:rsidDel="00000000" w:rsidR="00000000" w:rsidRPr="00000000">
        <w:rPr>
          <w:rtl w:val="0"/>
        </w:rPr>
      </w:r>
    </w:p>
    <w:p w:rsidR="00000000" w:rsidDel="00000000" w:rsidP="00000000" w:rsidRDefault="00000000" w:rsidRPr="00000000" w14:paraId="00000046">
      <w:pPr>
        <w:spacing w:after="200" w:line="240" w:lineRule="auto"/>
        <w:rPr>
          <w:b w:val="1"/>
          <w:sz w:val="24"/>
          <w:szCs w:val="24"/>
        </w:rPr>
      </w:pPr>
      <w:r w:rsidDel="00000000" w:rsidR="00000000" w:rsidRPr="00000000">
        <w:rPr>
          <w:rtl w:val="0"/>
        </w:rPr>
      </w:r>
    </w:p>
    <w:p w:rsidR="00000000" w:rsidDel="00000000" w:rsidP="00000000" w:rsidRDefault="00000000" w:rsidRPr="00000000" w14:paraId="00000047">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2x191mhhruph" w:id="4"/>
      <w:bookmarkEnd w:id="4"/>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Ciclo de la enfermedad </w:t>
      </w:r>
    </w:p>
    <w:p w:rsidR="00000000" w:rsidDel="00000000" w:rsidP="00000000" w:rsidRDefault="00000000" w:rsidRPr="00000000" w14:paraId="00000048">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luo3bhw8ov5n" w:id="5"/>
      <w:bookmarkEnd w:id="5"/>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.3.1 Transmisión y supervivencia</w:t>
      </w:r>
    </w:p>
    <w:p w:rsidR="00000000" w:rsidDel="00000000" w:rsidP="00000000" w:rsidRDefault="00000000" w:rsidRPr="00000000" w14:paraId="00000049">
      <w:pPr>
        <w:widowControl w:val="0"/>
        <w:spacing w:after="200" w:line="240" w:lineRule="auto"/>
        <w:ind w:firstLine="720"/>
        <w:jc w:val="both"/>
        <w:rPr>
          <w:sz w:val="24"/>
          <w:szCs w:val="24"/>
        </w:rPr>
      </w:pPr>
      <w:r w:rsidDel="00000000" w:rsidR="00000000" w:rsidRPr="00000000">
        <w:rPr>
          <w:color w:val="000000"/>
          <w:sz w:val="24"/>
          <w:szCs w:val="24"/>
          <w:rtl w:val="0"/>
        </w:rPr>
        <w:t xml:space="preserve">La transmisión </w:t>
      </w:r>
      <w:r w:rsidDel="00000000" w:rsidR="00000000" w:rsidRPr="00000000">
        <w:rPr>
          <w:sz w:val="24"/>
          <w:szCs w:val="24"/>
          <w:rtl w:val="0"/>
        </w:rPr>
        <w:t xml:space="preserve">se produce presumiblemente</w:t>
      </w:r>
      <w:r w:rsidDel="00000000" w:rsidR="00000000" w:rsidRPr="00000000">
        <w:rPr>
          <w:color w:val="000000"/>
          <w:sz w:val="24"/>
          <w:szCs w:val="24"/>
          <w:rtl w:val="0"/>
        </w:rPr>
        <w:t xml:space="preserve"> por semilla que puede estar contaminada por restos de plantas infectadas en el suelo. Hasta ahora no se ha investigado el modo real de infección en el campo. Dado que el hongo pasa el invierno como pseudotecio inmaduro en las hojas, se ha sugerido que las ascosporas pueden ser responsables de la infección temprana en la primavera, mientras que los </w:t>
      </w:r>
      <w:r w:rsidDel="00000000" w:rsidR="00000000" w:rsidRPr="00000000">
        <w:rPr>
          <w:sz w:val="24"/>
          <w:szCs w:val="24"/>
          <w:rtl w:val="0"/>
        </w:rPr>
        <w:t xml:space="preserve">conidios son responsables de la infección secundaria en la temporada de crecimiento (Mukunya </w:t>
      </w:r>
      <w:r w:rsidDel="00000000" w:rsidR="00000000" w:rsidRPr="00000000">
        <w:rPr>
          <w:color w:val="000000"/>
          <w:sz w:val="24"/>
          <w:szCs w:val="24"/>
          <w:rtl w:val="0"/>
        </w:rPr>
        <w:t xml:space="preserve">&amp; </w:t>
      </w:r>
      <w:r w:rsidDel="00000000" w:rsidR="00000000" w:rsidRPr="00000000">
        <w:rPr>
          <w:sz w:val="24"/>
          <w:szCs w:val="24"/>
          <w:rtl w:val="0"/>
        </w:rPr>
        <w:t xml:space="preserve">Boothroyd, 1973). El hongo sobrevive en los restos de la cosecha, sobre los que se forman pseudotecios (University of Illinois, 2022).</w:t>
      </w:r>
    </w:p>
    <w:p w:rsidR="00000000" w:rsidDel="00000000" w:rsidP="00000000" w:rsidRDefault="00000000" w:rsidRPr="00000000" w14:paraId="0000004A">
      <w:pPr>
        <w:widowControl w:val="0"/>
        <w:spacing w:after="200" w:line="240" w:lineRule="auto"/>
        <w:jc w:val="both"/>
        <w:rPr>
          <w:sz w:val="24"/>
          <w:szCs w:val="24"/>
        </w:rPr>
      </w:pPr>
      <w:r w:rsidDel="00000000" w:rsidR="00000000" w:rsidRPr="00000000">
        <w:rPr>
          <w:rtl w:val="0"/>
        </w:rPr>
      </w:r>
    </w:p>
    <w:p w:rsidR="00000000" w:rsidDel="00000000" w:rsidP="00000000" w:rsidRDefault="00000000" w:rsidRPr="00000000" w14:paraId="0000004B">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31cnwhs822lv" w:id="6"/>
      <w:bookmarkEnd w:id="6"/>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Incidencia</w:t>
      </w:r>
    </w:p>
    <w:p w:rsidR="00000000" w:rsidDel="00000000" w:rsidP="00000000" w:rsidRDefault="00000000" w:rsidRPr="00000000" w14:paraId="0000004C">
      <w:pPr>
        <w:spacing w:after="200" w:line="240" w:lineRule="auto"/>
        <w:ind w:firstLine="720"/>
        <w:jc w:val="both"/>
        <w:rPr>
          <w:color w:val="000000"/>
          <w:sz w:val="24"/>
          <w:szCs w:val="24"/>
        </w:rPr>
      </w:pPr>
      <w:r w:rsidDel="00000000" w:rsidR="00000000" w:rsidRPr="00000000">
        <w:rPr>
          <w:color w:val="000000"/>
          <w:sz w:val="24"/>
          <w:szCs w:val="24"/>
          <w:rtl w:val="0"/>
        </w:rPr>
        <w:t xml:space="preserve">Según Mukunya &amp; Boothroyd, 1973, la reproducción asexual se ve favorecida por la luz y las altas temperaturas con un óptimo de 24ºC. En cambio, las bajas temperaturas y la oscuridad favorecen el desarrollo de la etapa sexual. Según los mismos autores, los ascocarpos se produjeron abundantemente a temperaturas entre 18 y 21°C, mientras que a 15°C se desarrollaron pocos ascocarpos, y a 24°C no se observaron pseudotecios. A una temperatura de 21°C la mayoría de las ascas maduraron después de 15 días de incubación en la oscuridad.</w:t>
      </w:r>
    </w:p>
    <w:p w:rsidR="00000000" w:rsidDel="00000000" w:rsidP="00000000" w:rsidRDefault="00000000" w:rsidRPr="00000000" w14:paraId="0000004D">
      <w:pPr>
        <w:spacing w:after="200" w:line="240" w:lineRule="auto"/>
        <w:ind w:firstLine="720"/>
        <w:jc w:val="both"/>
        <w:rPr>
          <w:color w:val="000000"/>
          <w:sz w:val="24"/>
          <w:szCs w:val="24"/>
        </w:rPr>
      </w:pPr>
      <w:r w:rsidDel="00000000" w:rsidR="00000000" w:rsidRPr="00000000">
        <w:rPr>
          <w:color w:val="000000"/>
          <w:sz w:val="24"/>
          <w:szCs w:val="24"/>
          <w:rtl w:val="0"/>
        </w:rPr>
        <w:t xml:space="preserve">En los Estados Unidos, durante el invierno, numerosos pseudotecios comienzan su desarrollo en residuos de maíz en descomposición, pero la madurez no ocurre hasta alcanzar entre 15 y 21°C en la primavera (Mukunya &amp; Boothroyd, 1973).</w:t>
      </w:r>
    </w:p>
    <w:p w:rsidR="00000000" w:rsidDel="00000000" w:rsidP="00000000" w:rsidRDefault="00000000" w:rsidRPr="00000000" w14:paraId="0000004E">
      <w:pPr>
        <w:spacing w:after="200" w:line="240" w:lineRule="auto"/>
        <w:ind w:firstLine="720"/>
        <w:jc w:val="both"/>
        <w:rPr>
          <w:color w:val="000000"/>
          <w:sz w:val="24"/>
          <w:szCs w:val="24"/>
        </w:rPr>
      </w:pPr>
      <w:r w:rsidDel="00000000" w:rsidR="00000000" w:rsidRPr="00000000">
        <w:rPr>
          <w:color w:val="000000"/>
          <w:sz w:val="24"/>
          <w:szCs w:val="24"/>
          <w:rtl w:val="0"/>
        </w:rPr>
        <w:t xml:space="preserve">Según Castor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(1977), el hongo puede infectar líneas de maíz susceptibles después de períodos cortos de rocío, con temperaturas de alrededor de 12 a 28°C, y puede haber mayor infección entre 16 y 20 °C si el rocío no es limitante. La germinación de las esporas, depende del tiempo y de la temperatura, oscilando entre el 50 % a 27 °C y el 90 % a 15 o 18 °C. No obstante, una gran cantidad de picnidios se forman a temperaturas entre 18 y 27°C y alrededor del 95% de las esporas, germinan en unas 5 horas en condiciones apropiadas. Asimismo, en </w:t>
      </w:r>
      <w:r w:rsidDel="00000000" w:rsidR="00000000" w:rsidRPr="00000000">
        <w:rPr>
          <w:sz w:val="24"/>
          <w:szCs w:val="24"/>
          <w:rtl w:val="0"/>
        </w:rPr>
        <w:t xml:space="preserve">períodos</w:t>
      </w:r>
      <w:r w:rsidDel="00000000" w:rsidR="00000000" w:rsidRPr="00000000">
        <w:rPr>
          <w:color w:val="000000"/>
          <w:sz w:val="24"/>
          <w:szCs w:val="24"/>
          <w:rtl w:val="0"/>
        </w:rPr>
        <w:t xml:space="preserve"> prolongados, la germinación de esporas y la infección pueden verse favorecidas por temperaturas bajas entre 12 y 20 °C, mientras que la esporulación y colonización se verían favorecidas por temperaturas entre 20 y 27 °C. La enfermedad puede ocurrir en condiciones de temperatura menos favorables, pero de manera más atenuada.</w:t>
      </w:r>
    </w:p>
    <w:p w:rsidR="00000000" w:rsidDel="00000000" w:rsidP="00000000" w:rsidRDefault="00000000" w:rsidRPr="00000000" w14:paraId="0000004F">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50">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x5hwvpxq58lk" w:id="7"/>
      <w:bookmarkEnd w:id="7"/>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 Síntomas asociados a los distintos órganos y estadios fenológicos</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ffffff" w:val="clear"/>
        <w:spacing w:after="200" w:line="240" w:lineRule="auto"/>
        <w:ind w:firstLine="720"/>
        <w:jc w:val="both"/>
        <w:rPr>
          <w:color w:val="000000"/>
          <w:sz w:val="24"/>
          <w:szCs w:val="24"/>
        </w:rPr>
      </w:pPr>
      <w:r w:rsidDel="00000000" w:rsidR="00000000" w:rsidRPr="00000000">
        <w:rPr>
          <w:color w:val="000000"/>
          <w:sz w:val="24"/>
          <w:szCs w:val="24"/>
          <w:rtl w:val="0"/>
        </w:rPr>
        <w:t xml:space="preserve">Según Arny &amp; Nelson (1971), el hongo causa lesiones necróticas y amarillamiento en el tejido foliar. En las hojas inferiores las lesiones son rectangulares a oblongo-elípticas, generalmente de 7-10 x 15-20 mm, ocurriendo en dirección paralela a las nervaduras, pero sin delimitarse a ellas. Las lesiones son de color amarillo a beige, descoloridas en el centro y comúnmente tienen un borde marrón. Pueden verse afectadas hojas de cualquier edad, y si la infección es grave, morirán hojas enteras, comenzando por las más viejas. Las lesiones en las hojas superiores generalmente están restringidas por las nervaduras y, por lo tanto, son más lineales. Las lesiones también pueden desarrollarse en la vaina y la cáscara de la mazorca, pero </w:t>
      </w:r>
      <w:r w:rsidDel="00000000" w:rsidR="00000000" w:rsidRPr="00000000">
        <w:rPr>
          <w:sz w:val="24"/>
          <w:szCs w:val="24"/>
          <w:rtl w:val="0"/>
        </w:rPr>
        <w:t xml:space="preserve">son </w:t>
      </w:r>
      <w:r w:rsidDel="00000000" w:rsidR="00000000" w:rsidRPr="00000000">
        <w:rPr>
          <w:color w:val="000000"/>
          <w:sz w:val="24"/>
          <w:szCs w:val="24"/>
          <w:rtl w:val="0"/>
        </w:rPr>
        <w:t xml:space="preserve">menos evidentes en este caso. Las plantas jóvenes atacadas por el hongo en una etapa temprana de desarrollo pueden morir o atrofiarse. Las lesiones de la vaina de la hoja pueden ser similares a las de </w:t>
      </w:r>
      <w:r w:rsidDel="00000000" w:rsidR="00000000" w:rsidRPr="00000000">
        <w:rPr>
          <w:i w:val="1"/>
          <w:color w:val="000000"/>
          <w:sz w:val="24"/>
          <w:szCs w:val="24"/>
          <w:rtl w:val="0"/>
        </w:rPr>
        <w:t xml:space="preserve">Helminthosporium maydis</w:t>
      </w:r>
      <w:r w:rsidDel="00000000" w:rsidR="00000000" w:rsidRPr="00000000">
        <w:rPr>
          <w:color w:val="000000"/>
          <w:sz w:val="24"/>
          <w:szCs w:val="24"/>
          <w:rtl w:val="0"/>
        </w:rPr>
        <w:t xml:space="preserve"> y la diferenciación puede ser difícil sin cuerpos fructíferos fúngicos. Los picnidios oscuros se pueden encontrar en el área central de las lesiones antiguas y, en la naturaleza, pueden ser raros o estar ausentes. </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ffffff" w:val="clear"/>
        <w:spacing w:after="200" w:line="240" w:lineRule="auto"/>
        <w:jc w:val="both"/>
        <w:rPr>
          <w:sz w:val="24"/>
          <w:szCs w:val="24"/>
        </w:rPr>
      </w:pPr>
      <w:r w:rsidDel="00000000" w:rsidR="00000000" w:rsidRPr="00000000">
        <w:rPr>
          <w:rtl w:val="0"/>
        </w:rPr>
      </w:r>
    </w:p>
    <w:p w:rsidR="00000000" w:rsidDel="00000000" w:rsidP="00000000" w:rsidRDefault="00000000" w:rsidRPr="00000000" w14:paraId="00000053">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9dmvma5rp88l" w:id="8"/>
      <w:bookmarkEnd w:id="8"/>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.3.4 Comportamiento y distribución en los lotes</w:t>
      </w:r>
    </w:p>
    <w:p w:rsidR="00000000" w:rsidDel="00000000" w:rsidP="00000000" w:rsidRDefault="00000000" w:rsidRPr="00000000" w14:paraId="00000054">
      <w:pPr>
        <w:spacing w:after="200" w:line="240" w:lineRule="auto"/>
        <w:ind w:firstLine="720"/>
        <w:jc w:val="both"/>
        <w:rPr>
          <w:sz w:val="24"/>
          <w:szCs w:val="24"/>
        </w:rPr>
      </w:pPr>
      <w:r w:rsidDel="00000000" w:rsidR="00000000" w:rsidRPr="00000000">
        <w:rPr>
          <w:sz w:val="24"/>
          <w:szCs w:val="24"/>
          <w:rtl w:val="0"/>
        </w:rPr>
        <w:t xml:space="preserve">Se cuenta con escasa</w:t>
      </w:r>
      <w:r w:rsidDel="00000000" w:rsidR="00000000" w:rsidRPr="00000000">
        <w:rPr>
          <w:color w:val="000000"/>
          <w:sz w:val="24"/>
          <w:szCs w:val="24"/>
          <w:rtl w:val="0"/>
        </w:rPr>
        <w:t xml:space="preserve"> información.</w:t>
      </w:r>
      <w:r w:rsidDel="00000000" w:rsidR="00000000" w:rsidRPr="00000000">
        <w:rPr>
          <w:rtl w:val="0"/>
        </w:rPr>
      </w:r>
    </w:p>
    <w:p w:rsidR="00000000" w:rsidDel="00000000" w:rsidP="00000000" w:rsidRDefault="00000000" w:rsidRPr="00000000" w14:paraId="00000055">
      <w:pPr>
        <w:spacing w:after="200" w:line="240" w:lineRule="auto"/>
        <w:jc w:val="both"/>
        <w:rPr>
          <w:sz w:val="24"/>
          <w:szCs w:val="24"/>
        </w:rPr>
      </w:pPr>
      <w:r w:rsidDel="00000000" w:rsidR="00000000" w:rsidRPr="00000000">
        <w:rPr>
          <w:rtl w:val="0"/>
        </w:rPr>
      </w:r>
    </w:p>
    <w:p w:rsidR="00000000" w:rsidDel="00000000" w:rsidP="00000000" w:rsidRDefault="00000000" w:rsidRPr="00000000" w14:paraId="00000056">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wj69tklnh7m5" w:id="9"/>
      <w:bookmarkEnd w:id="9"/>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.3.5 Similitudes con otros patógenos</w:t>
      </w:r>
    </w:p>
    <w:p w:rsidR="00000000" w:rsidDel="00000000" w:rsidP="00000000" w:rsidRDefault="00000000" w:rsidRPr="00000000" w14:paraId="00000057">
      <w:pPr>
        <w:spacing w:after="200" w:line="240" w:lineRule="auto"/>
        <w:ind w:firstLine="720"/>
        <w:jc w:val="both"/>
        <w:rPr>
          <w:color w:val="000000"/>
          <w:sz w:val="24"/>
          <w:szCs w:val="24"/>
        </w:rPr>
      </w:pPr>
      <w:r w:rsidDel="00000000" w:rsidR="00000000" w:rsidRPr="00000000">
        <w:rPr>
          <w:color w:val="000000"/>
          <w:sz w:val="24"/>
          <w:szCs w:val="24"/>
          <w:rtl w:val="0"/>
        </w:rPr>
        <w:t xml:space="preserve">Los síntomas causados por </w:t>
      </w:r>
      <w:r w:rsidDel="00000000" w:rsidR="00000000" w:rsidRPr="00000000">
        <w:rPr>
          <w:i w:val="1"/>
          <w:color w:val="000000"/>
          <w:sz w:val="24"/>
          <w:szCs w:val="24"/>
          <w:rtl w:val="0"/>
        </w:rPr>
        <w:t xml:space="preserve">Mycosphaerella zeae-maydis,</w:t>
      </w:r>
      <w:r w:rsidDel="00000000" w:rsidR="00000000" w:rsidRPr="00000000">
        <w:rPr>
          <w:color w:val="000000"/>
          <w:sz w:val="24"/>
          <w:szCs w:val="24"/>
          <w:rtl w:val="0"/>
        </w:rPr>
        <w:t xml:space="preserve"> pueden confundirse fácilmente con los síntomas de </w:t>
      </w:r>
      <w:r w:rsidDel="00000000" w:rsidR="00000000" w:rsidRPr="00000000">
        <w:rPr>
          <w:i w:val="1"/>
          <w:color w:val="000000"/>
          <w:sz w:val="24"/>
          <w:szCs w:val="24"/>
          <w:rtl w:val="0"/>
        </w:rPr>
        <w:t xml:space="preserve">Helminthosporium maydis</w:t>
      </w:r>
      <w:r w:rsidDel="00000000" w:rsidR="00000000" w:rsidRPr="00000000">
        <w:rPr>
          <w:color w:val="000000"/>
          <w:sz w:val="24"/>
          <w:szCs w:val="24"/>
          <w:rtl w:val="0"/>
        </w:rPr>
        <w:t xml:space="preserve"> y la diferenciación puede ser difícil sin realizar análisis orientados a la detección de los cuerpos fructíferos fúngicos.</w:t>
      </w:r>
    </w:p>
    <w:p w:rsidR="00000000" w:rsidDel="00000000" w:rsidP="00000000" w:rsidRDefault="00000000" w:rsidRPr="00000000" w14:paraId="00000058">
      <w:pPr>
        <w:spacing w:after="200" w:line="240" w:lineRule="auto"/>
        <w:ind w:firstLine="720"/>
        <w:jc w:val="both"/>
        <w:rPr>
          <w:color w:val="000000"/>
          <w:sz w:val="24"/>
          <w:szCs w:val="24"/>
        </w:rPr>
      </w:pPr>
      <w:r w:rsidDel="00000000" w:rsidR="00000000" w:rsidRPr="00000000">
        <w:rPr>
          <w:color w:val="000000"/>
          <w:sz w:val="24"/>
          <w:szCs w:val="24"/>
          <w:rtl w:val="0"/>
        </w:rPr>
        <w:t xml:space="preserve">Además</w:t>
      </w:r>
      <w:r w:rsidDel="00000000" w:rsidR="00000000" w:rsidRPr="00000000">
        <w:rPr>
          <w:sz w:val="24"/>
          <w:szCs w:val="24"/>
          <w:rtl w:val="0"/>
        </w:rPr>
        <w:t xml:space="preserve">,</w:t>
      </w:r>
      <w:r w:rsidDel="00000000" w:rsidR="00000000" w:rsidRPr="00000000">
        <w:rPr>
          <w:color w:val="000000"/>
          <w:sz w:val="24"/>
          <w:szCs w:val="24"/>
          <w:rtl w:val="0"/>
        </w:rPr>
        <w:t xml:space="preserve"> el taxón </w:t>
      </w:r>
      <w:r w:rsidDel="00000000" w:rsidR="00000000" w:rsidRPr="00000000">
        <w:rPr>
          <w:i w:val="1"/>
          <w:color w:val="000000"/>
          <w:sz w:val="24"/>
          <w:szCs w:val="24"/>
          <w:rtl w:val="0"/>
        </w:rPr>
        <w:t xml:space="preserve">Mycosphaerella</w:t>
      </w:r>
      <w:r w:rsidDel="00000000" w:rsidR="00000000" w:rsidRPr="00000000">
        <w:rPr>
          <w:color w:val="000000"/>
          <w:sz w:val="24"/>
          <w:szCs w:val="24"/>
          <w:rtl w:val="0"/>
        </w:rPr>
        <w:t xml:space="preserve"> (nombre preferido </w:t>
      </w:r>
      <w:r w:rsidDel="00000000" w:rsidR="00000000" w:rsidRPr="00000000">
        <w:rPr>
          <w:i w:val="1"/>
          <w:color w:val="000000"/>
          <w:sz w:val="24"/>
          <w:szCs w:val="24"/>
          <w:rtl w:val="0"/>
        </w:rPr>
        <w:t xml:space="preserve">Didymella)</w:t>
      </w:r>
      <w:r w:rsidDel="00000000" w:rsidR="00000000" w:rsidRPr="00000000">
        <w:rPr>
          <w:color w:val="000000"/>
          <w:sz w:val="24"/>
          <w:szCs w:val="24"/>
          <w:rtl w:val="0"/>
        </w:rPr>
        <w:t xml:space="preserve"> se encuentra en reevaluación por la identificación de numerosas nuevas especies y la inclusión de nuevos taxones (Ej: </w:t>
      </w:r>
      <w:r w:rsidDel="00000000" w:rsidR="00000000" w:rsidRPr="00000000">
        <w:rPr>
          <w:i w:val="1"/>
          <w:color w:val="000000"/>
          <w:sz w:val="24"/>
          <w:szCs w:val="24"/>
          <w:rtl w:val="0"/>
        </w:rPr>
        <w:t xml:space="preserve">Phoma</w:t>
      </w:r>
      <w:r w:rsidDel="00000000" w:rsidR="00000000" w:rsidRPr="00000000">
        <w:rPr>
          <w:color w:val="000000"/>
          <w:sz w:val="24"/>
          <w:szCs w:val="24"/>
          <w:rtl w:val="0"/>
        </w:rPr>
        <w:t xml:space="preserve">).</w:t>
      </w:r>
    </w:p>
    <w:p w:rsidR="00000000" w:rsidDel="00000000" w:rsidP="00000000" w:rsidRDefault="00000000" w:rsidRPr="00000000" w14:paraId="00000059">
      <w:pPr>
        <w:widowControl w:val="0"/>
        <w:tabs>
          <w:tab w:val="left" w:leader="none" w:pos="335"/>
        </w:tabs>
        <w:spacing w:after="200" w:line="240" w:lineRule="auto"/>
        <w:ind w:right="168"/>
        <w:rPr>
          <w:b w:val="1"/>
          <w:color w:val="000000"/>
          <w:sz w:val="24"/>
          <w:szCs w:val="24"/>
        </w:rPr>
      </w:pPr>
      <w:r w:rsidDel="00000000" w:rsidR="00000000" w:rsidRPr="00000000">
        <w:rPr>
          <w:rtl w:val="0"/>
        </w:rPr>
      </w:r>
    </w:p>
    <w:p w:rsidR="00000000" w:rsidDel="00000000" w:rsidP="00000000" w:rsidRDefault="00000000" w:rsidRPr="00000000" w14:paraId="0000005A">
      <w:pPr>
        <w:pStyle w:val="Heading1"/>
        <w:keepNext w:val="1"/>
        <w:keepLines w:val="1"/>
        <w:spacing w:after="200" w:before="480" w:line="240" w:lineRule="auto"/>
        <w:rPr>
          <w:sz w:val="28"/>
          <w:szCs w:val="28"/>
          <w:vertAlign w:val="baseline"/>
        </w:rPr>
      </w:pPr>
      <w:bookmarkStart w:colFirst="0" w:colLast="0" w:name="_heading=h.3ly7gklyas5l" w:id="10"/>
      <w:bookmarkEnd w:id="10"/>
      <w:r w:rsidDel="00000000" w:rsidR="00000000" w:rsidRPr="00000000">
        <w:rPr>
          <w:sz w:val="28"/>
          <w:szCs w:val="28"/>
          <w:vertAlign w:val="baseline"/>
          <w:rtl w:val="0"/>
        </w:rPr>
        <w:t xml:space="preserve">2. Bibliografía</w:t>
      </w:r>
    </w:p>
    <w:p w:rsidR="00000000" w:rsidDel="00000000" w:rsidP="00000000" w:rsidRDefault="00000000" w:rsidRPr="00000000" w14:paraId="0000005B">
      <w:pPr>
        <w:spacing w:after="200" w:line="240" w:lineRule="auto"/>
        <w:ind w:left="720.0000000000001" w:hanging="720.0000000000001"/>
        <w:jc w:val="both"/>
        <w:rPr>
          <w:sz w:val="20"/>
          <w:szCs w:val="20"/>
        </w:rPr>
      </w:pPr>
      <w:r w:rsidDel="00000000" w:rsidR="00000000" w:rsidRPr="00000000">
        <w:rPr>
          <w:b w:val="1"/>
          <w:sz w:val="20"/>
          <w:szCs w:val="20"/>
          <w:rtl w:val="0"/>
        </w:rPr>
        <w:t xml:space="preserve">Arny, D. C. &amp; Nelson, R. R</w:t>
      </w:r>
      <w:r w:rsidDel="00000000" w:rsidR="00000000" w:rsidRPr="00000000">
        <w:rPr>
          <w:sz w:val="20"/>
          <w:szCs w:val="20"/>
          <w:rtl w:val="0"/>
        </w:rPr>
        <w:t xml:space="preserve">. 1971. </w:t>
      </w:r>
      <w:r w:rsidDel="00000000" w:rsidR="00000000" w:rsidRPr="00000000">
        <w:rPr>
          <w:i w:val="1"/>
          <w:sz w:val="20"/>
          <w:szCs w:val="20"/>
          <w:rtl w:val="0"/>
        </w:rPr>
        <w:t xml:space="preserve">Phyllosticta maydis</w:t>
      </w:r>
      <w:r w:rsidDel="00000000" w:rsidR="00000000" w:rsidRPr="00000000">
        <w:rPr>
          <w:sz w:val="20"/>
          <w:szCs w:val="20"/>
          <w:rtl w:val="0"/>
        </w:rPr>
        <w:t xml:space="preserve"> species nova, the incitant of yellow leaf blight of maize. Phytopathology, v. 61, n. 10, p. 1170-72, 1971. Disponible en: </w:t>
      </w:r>
      <w:hyperlink r:id="rId12">
        <w:r w:rsidDel="00000000" w:rsidR="00000000" w:rsidRPr="00000000">
          <w:rPr>
            <w:color w:val="1155cc"/>
            <w:sz w:val="20"/>
            <w:szCs w:val="20"/>
            <w:u w:val="single"/>
            <w:rtl w:val="0"/>
          </w:rPr>
          <w:t xml:space="preserve">https://www.apsnet.org/publications/phytopathology/backissues/Documents/1971Articles/Phyto61n10_1170.pdf</w:t>
        </w:r>
      </w:hyperlink>
      <w:r w:rsidDel="00000000" w:rsidR="00000000" w:rsidRPr="00000000">
        <w:rPr>
          <w:sz w:val="20"/>
          <w:szCs w:val="20"/>
          <w:rtl w:val="0"/>
        </w:rPr>
        <w:t xml:space="preserve"> </w:t>
      </w:r>
    </w:p>
    <w:p w:rsidR="00000000" w:rsidDel="00000000" w:rsidP="00000000" w:rsidRDefault="00000000" w:rsidRPr="00000000" w14:paraId="0000005C">
      <w:pPr>
        <w:spacing w:after="200" w:line="240" w:lineRule="auto"/>
        <w:ind w:left="720.0000000000001" w:hanging="720.0000000000001"/>
        <w:jc w:val="both"/>
        <w:rPr>
          <w:color w:val="222222"/>
          <w:sz w:val="20"/>
          <w:szCs w:val="20"/>
          <w:highlight w:val="white"/>
        </w:rPr>
      </w:pPr>
      <w:r w:rsidDel="00000000" w:rsidR="00000000" w:rsidRPr="00000000">
        <w:rPr>
          <w:sz w:val="20"/>
          <w:szCs w:val="20"/>
          <w:rtl w:val="0"/>
        </w:rPr>
        <w:t xml:space="preserve"> </w:t>
      </w:r>
      <w:r w:rsidDel="00000000" w:rsidR="00000000" w:rsidRPr="00000000">
        <w:rPr>
          <w:b w:val="1"/>
          <w:sz w:val="20"/>
          <w:szCs w:val="20"/>
          <w:highlight w:val="white"/>
          <w:rtl w:val="0"/>
        </w:rPr>
        <w:t xml:space="preserve">Bhalla S.; Chalam V.C.; Gupta K.; Singh B.; Khan Z. </w:t>
      </w:r>
      <w:r w:rsidDel="00000000" w:rsidR="00000000" w:rsidRPr="00000000">
        <w:rPr>
          <w:b w:val="1"/>
          <w:color w:val="222222"/>
          <w:sz w:val="20"/>
          <w:szCs w:val="20"/>
          <w:highlight w:val="white"/>
          <w:rtl w:val="0"/>
        </w:rPr>
        <w:t xml:space="preserve"> </w:t>
      </w:r>
      <w:r w:rsidDel="00000000" w:rsidR="00000000" w:rsidRPr="00000000">
        <w:rPr>
          <w:b w:val="1"/>
          <w:sz w:val="20"/>
          <w:szCs w:val="20"/>
          <w:highlight w:val="white"/>
          <w:rtl w:val="0"/>
        </w:rPr>
        <w:t xml:space="preserve">&amp;</w:t>
      </w:r>
      <w:r w:rsidDel="00000000" w:rsidR="00000000" w:rsidRPr="00000000">
        <w:rPr>
          <w:b w:val="1"/>
          <w:color w:val="222222"/>
          <w:sz w:val="20"/>
          <w:szCs w:val="20"/>
          <w:highlight w:val="white"/>
          <w:rtl w:val="0"/>
        </w:rPr>
        <w:t xml:space="preserve"> </w:t>
      </w:r>
      <w:r w:rsidDel="00000000" w:rsidR="00000000" w:rsidRPr="00000000">
        <w:rPr>
          <w:b w:val="1"/>
          <w:sz w:val="20"/>
          <w:szCs w:val="20"/>
          <w:highlight w:val="white"/>
          <w:rtl w:val="0"/>
        </w:rPr>
        <w:t xml:space="preserve"> Dubey S.C</w:t>
      </w:r>
      <w:r w:rsidDel="00000000" w:rsidR="00000000" w:rsidRPr="00000000">
        <w:rPr>
          <w:sz w:val="20"/>
          <w:szCs w:val="20"/>
          <w:highlight w:val="white"/>
          <w:rtl w:val="0"/>
        </w:rPr>
        <w:t xml:space="preserve">. 2016. Generic Pest Risk Analysis: Import of Transgenic Corn. ICAR National Bureau of Plant Genetic Resources, New Delhi, India. </w:t>
      </w:r>
      <w:hyperlink r:id="rId13">
        <w:r w:rsidDel="00000000" w:rsidR="00000000" w:rsidRPr="00000000">
          <w:rPr>
            <w:sz w:val="20"/>
            <w:szCs w:val="20"/>
            <w:highlight w:val="white"/>
            <w:rtl w:val="0"/>
          </w:rPr>
          <w:t xml:space="preserve">Disponible en: </w:t>
        </w:r>
      </w:hyperlink>
      <w:hyperlink r:id="rId14">
        <w:r w:rsidDel="00000000" w:rsidR="00000000" w:rsidRPr="00000000">
          <w:rPr>
            <w:color w:val="0000ff"/>
            <w:sz w:val="20"/>
            <w:szCs w:val="20"/>
            <w:highlight w:val="white"/>
            <w:u w:val="single"/>
            <w:rtl w:val="0"/>
          </w:rPr>
          <w:t xml:space="preserve">http://www.nbpgr.ernet.in/Downloadfile.aspx?EntryId=7322</w:t>
        </w:r>
      </w:hyperlink>
      <w:r w:rsidDel="00000000" w:rsidR="00000000" w:rsidRPr="00000000">
        <w:rPr>
          <w:color w:val="222222"/>
          <w:sz w:val="20"/>
          <w:szCs w:val="20"/>
          <w:highlight w:val="white"/>
          <w:rtl w:val="0"/>
        </w:rPr>
        <w:t xml:space="preserve">.</w:t>
      </w:r>
    </w:p>
    <w:p w:rsidR="00000000" w:rsidDel="00000000" w:rsidP="00000000" w:rsidRDefault="00000000" w:rsidRPr="00000000" w14:paraId="0000005D">
      <w:pPr>
        <w:widowControl w:val="0"/>
        <w:tabs>
          <w:tab w:val="left" w:leader="none" w:pos="335"/>
        </w:tabs>
        <w:spacing w:after="200" w:line="240" w:lineRule="auto"/>
        <w:ind w:left="720.0000000000001" w:right="168" w:hanging="720.0000000000001"/>
        <w:rPr>
          <w:sz w:val="20"/>
          <w:szCs w:val="20"/>
          <w:highlight w:val="white"/>
        </w:rPr>
      </w:pPr>
      <w:r w:rsidDel="00000000" w:rsidR="00000000" w:rsidRPr="00000000">
        <w:rPr>
          <w:b w:val="1"/>
          <w:sz w:val="20"/>
          <w:szCs w:val="20"/>
          <w:highlight w:val="white"/>
          <w:rtl w:val="0"/>
        </w:rPr>
        <w:t xml:space="preserve">Castor L.L.; Ayers J.E. &amp; Nelson R.R</w:t>
      </w:r>
      <w:r w:rsidDel="00000000" w:rsidR="00000000" w:rsidRPr="00000000">
        <w:rPr>
          <w:sz w:val="20"/>
          <w:szCs w:val="20"/>
          <w:highlight w:val="white"/>
          <w:rtl w:val="0"/>
        </w:rPr>
        <w:t xml:space="preserve">. 1977. Controlled-environment studies of epidemiology of yellow leaf-blight of corn. Phytopathology, v. 67, p. 85-90. </w:t>
      </w:r>
      <w:hyperlink r:id="rId15">
        <w:r w:rsidDel="00000000" w:rsidR="00000000" w:rsidRPr="00000000">
          <w:rPr>
            <w:sz w:val="20"/>
            <w:szCs w:val="20"/>
            <w:highlight w:val="white"/>
            <w:rtl w:val="0"/>
          </w:rPr>
          <w:t xml:space="preserve"> Disponible en</w:t>
        </w:r>
      </w:hyperlink>
      <w:hyperlink r:id="rId16">
        <w:r w:rsidDel="00000000" w:rsidR="00000000" w:rsidRPr="00000000">
          <w:rPr>
            <w:sz w:val="20"/>
            <w:szCs w:val="20"/>
            <w:rtl w:val="0"/>
          </w:rPr>
          <w:t xml:space="preserve">:</w:t>
        </w:r>
      </w:hyperlink>
      <w:hyperlink r:id="rId17">
        <w:r w:rsidDel="00000000" w:rsidR="00000000" w:rsidRPr="00000000">
          <w:rPr>
            <w:color w:val="0000ff"/>
            <w:sz w:val="20"/>
            <w:szCs w:val="20"/>
            <w:highlight w:val="white"/>
            <w:u w:val="single"/>
            <w:rtl w:val="0"/>
          </w:rPr>
          <w:t xml:space="preserve"> https://www.apsnet.org/publications/phytopathology/backissues/Documents/1977Articles/Phyto67n01_85.pdf</w:t>
        </w:r>
      </w:hyperlink>
      <w:r w:rsidDel="00000000" w:rsidR="00000000" w:rsidRPr="00000000">
        <w:rPr>
          <w:sz w:val="20"/>
          <w:szCs w:val="20"/>
          <w:highlight w:val="white"/>
          <w:rtl w:val="0"/>
        </w:rPr>
        <w:t xml:space="preserve">.      </w:t>
      </w:r>
    </w:p>
    <w:p w:rsidR="00000000" w:rsidDel="00000000" w:rsidP="00000000" w:rsidRDefault="00000000" w:rsidRPr="00000000" w14:paraId="0000005E">
      <w:pPr>
        <w:widowControl w:val="0"/>
        <w:tabs>
          <w:tab w:val="left" w:leader="none" w:pos="335"/>
        </w:tabs>
        <w:spacing w:after="200" w:line="240" w:lineRule="auto"/>
        <w:ind w:left="720.0000000000001" w:right="168" w:hanging="720.0000000000001"/>
        <w:jc w:val="both"/>
        <w:rPr>
          <w:sz w:val="20"/>
          <w:szCs w:val="20"/>
          <w:highlight w:val="white"/>
        </w:rPr>
      </w:pPr>
      <w:r w:rsidDel="00000000" w:rsidR="00000000" w:rsidRPr="00000000">
        <w:rPr>
          <w:b w:val="1"/>
          <w:sz w:val="20"/>
          <w:szCs w:val="20"/>
          <w:highlight w:val="white"/>
          <w:rtl w:val="0"/>
        </w:rPr>
        <w:t xml:space="preserve">Mukunya D.M. &amp; Boothroyd C.W</w:t>
      </w:r>
      <w:r w:rsidDel="00000000" w:rsidR="00000000" w:rsidRPr="00000000">
        <w:rPr>
          <w:b w:val="1"/>
          <w:sz w:val="20"/>
          <w:szCs w:val="20"/>
          <w:rtl w:val="0"/>
        </w:rPr>
        <w:t xml:space="preserve">.</w:t>
      </w:r>
      <w:r w:rsidDel="00000000" w:rsidR="00000000" w:rsidRPr="00000000">
        <w:rPr>
          <w:sz w:val="20"/>
          <w:szCs w:val="20"/>
          <w:highlight w:val="white"/>
          <w:rtl w:val="0"/>
        </w:rPr>
        <w:t xml:space="preserve"> 1973. </w:t>
      </w:r>
      <w:r w:rsidDel="00000000" w:rsidR="00000000" w:rsidRPr="00000000">
        <w:rPr>
          <w:i w:val="1"/>
          <w:sz w:val="20"/>
          <w:szCs w:val="20"/>
          <w:highlight w:val="white"/>
          <w:rtl w:val="0"/>
        </w:rPr>
        <w:t xml:space="preserve">Mycosphaerella zeae-maydis</w:t>
      </w:r>
      <w:r w:rsidDel="00000000" w:rsidR="00000000" w:rsidRPr="00000000">
        <w:rPr>
          <w:sz w:val="20"/>
          <w:szCs w:val="20"/>
          <w:highlight w:val="white"/>
          <w:rtl w:val="0"/>
        </w:rPr>
        <w:t xml:space="preserve"> sp. n., the sexual stage of </w:t>
      </w:r>
      <w:r w:rsidDel="00000000" w:rsidR="00000000" w:rsidRPr="00000000">
        <w:rPr>
          <w:i w:val="1"/>
          <w:sz w:val="20"/>
          <w:szCs w:val="20"/>
          <w:highlight w:val="white"/>
          <w:rtl w:val="0"/>
        </w:rPr>
        <w:t xml:space="preserve">Phyllosticta maydis</w:t>
      </w:r>
      <w:r w:rsidDel="00000000" w:rsidR="00000000" w:rsidRPr="00000000">
        <w:rPr>
          <w:sz w:val="20"/>
          <w:szCs w:val="20"/>
          <w:highlight w:val="white"/>
          <w:rtl w:val="0"/>
        </w:rPr>
        <w:t xml:space="preserve">. Phytopathology, v. 63, n. 4, p. 529-32. </w:t>
      </w:r>
      <w:hyperlink r:id="rId18">
        <w:r w:rsidDel="00000000" w:rsidR="00000000" w:rsidRPr="00000000">
          <w:rPr>
            <w:sz w:val="20"/>
            <w:szCs w:val="20"/>
            <w:highlight w:val="white"/>
            <w:rtl w:val="0"/>
          </w:rPr>
          <w:t xml:space="preserve">Disponible en</w:t>
        </w:r>
      </w:hyperlink>
      <w:hyperlink r:id="rId19">
        <w:r w:rsidDel="00000000" w:rsidR="00000000" w:rsidRPr="00000000">
          <w:rPr>
            <w:sz w:val="20"/>
            <w:szCs w:val="20"/>
            <w:rtl w:val="0"/>
          </w:rPr>
          <w:t xml:space="preserve">: </w:t>
        </w:r>
      </w:hyperlink>
      <w:hyperlink r:id="rId20">
        <w:r w:rsidDel="00000000" w:rsidR="00000000" w:rsidRPr="00000000">
          <w:rPr>
            <w:sz w:val="20"/>
            <w:szCs w:val="20"/>
            <w:highlight w:val="white"/>
            <w:u w:val="single"/>
            <w:rtl w:val="0"/>
          </w:rPr>
          <w:t xml:space="preserve">https://www.apsnet.org/publications/phytopathology/backissues/Documents/1973Articles/Phyto63n04_529.PDF</w:t>
        </w:r>
      </w:hyperlink>
      <w:r w:rsidDel="00000000" w:rsidR="00000000" w:rsidRPr="00000000">
        <w:rPr>
          <w:sz w:val="20"/>
          <w:szCs w:val="20"/>
          <w:highlight w:val="white"/>
          <w:rtl w:val="0"/>
        </w:rPr>
        <w:t xml:space="preserve">.</w:t>
      </w:r>
    </w:p>
    <w:p w:rsidR="00000000" w:rsidDel="00000000" w:rsidP="00000000" w:rsidRDefault="00000000" w:rsidRPr="00000000" w14:paraId="0000005F">
      <w:pPr>
        <w:widowControl w:val="0"/>
        <w:tabs>
          <w:tab w:val="left" w:leader="none" w:pos="335"/>
        </w:tabs>
        <w:spacing w:after="200" w:line="240" w:lineRule="auto"/>
        <w:ind w:left="720.0000000000001" w:right="168" w:hanging="720.0000000000001"/>
        <w:jc w:val="both"/>
        <w:rPr>
          <w:color w:val="0000ff"/>
          <w:sz w:val="20"/>
          <w:szCs w:val="20"/>
          <w:u w:val="single"/>
        </w:rPr>
      </w:pPr>
      <w:r w:rsidDel="00000000" w:rsidR="00000000" w:rsidRPr="00000000">
        <w:rPr>
          <w:b w:val="1"/>
          <w:sz w:val="20"/>
          <w:szCs w:val="20"/>
          <w:rtl w:val="0"/>
        </w:rPr>
        <w:t xml:space="preserve">University of Illinois</w:t>
      </w:r>
      <w:r w:rsidDel="00000000" w:rsidR="00000000" w:rsidRPr="00000000">
        <w:rPr>
          <w:sz w:val="20"/>
          <w:szCs w:val="20"/>
          <w:rtl w:val="0"/>
        </w:rPr>
        <w:t xml:space="preserve">. 2022. EXTENSION ITCS INSTRUCTIONAL MATERIALS. Corn Diseases I. X799.30. [En línea]. Consultado en julio 2022. Disponible en: </w:t>
      </w:r>
      <w:hyperlink r:id="rId21">
        <w:r w:rsidDel="00000000" w:rsidR="00000000" w:rsidRPr="00000000">
          <w:rPr>
            <w:color w:val="0000ff"/>
            <w:sz w:val="20"/>
            <w:szCs w:val="20"/>
            <w:u w:val="single"/>
            <w:rtl w:val="0"/>
          </w:rPr>
          <w:t xml:space="preserve">https://extension.missouri.edu/media/wysiwyg/Extensiondata/Pub/pdf/agguides/pests/ps0101.pdf</w:t>
        </w:r>
      </w:hyperlink>
      <w:r w:rsidDel="00000000" w:rsidR="00000000" w:rsidRPr="00000000">
        <w:rPr>
          <w:color w:val="0000ff"/>
          <w:sz w:val="20"/>
          <w:szCs w:val="20"/>
          <w:u w:val="single"/>
          <w:rtl w:val="0"/>
        </w:rPr>
        <w:t xml:space="preserve">.</w:t>
      </w:r>
    </w:p>
    <w:p w:rsidR="00000000" w:rsidDel="00000000" w:rsidP="00000000" w:rsidRDefault="00000000" w:rsidRPr="00000000" w14:paraId="00000060">
      <w:pPr>
        <w:widowControl w:val="0"/>
        <w:tabs>
          <w:tab w:val="left" w:leader="none" w:pos="335"/>
        </w:tabs>
        <w:spacing w:after="200" w:line="240" w:lineRule="auto"/>
        <w:ind w:left="720.0000000000001" w:right="168" w:hanging="720.0000000000001"/>
        <w:jc w:val="both"/>
        <w:rPr>
          <w:color w:val="0000ff"/>
          <w:sz w:val="20"/>
          <w:szCs w:val="20"/>
          <w:u w:val="single"/>
        </w:rPr>
      </w:pPr>
      <w:r w:rsidDel="00000000" w:rsidR="00000000" w:rsidRPr="00000000">
        <w:rPr>
          <w:rtl w:val="0"/>
        </w:rPr>
      </w:r>
    </w:p>
    <w:p w:rsidR="00000000" w:rsidDel="00000000" w:rsidP="00000000" w:rsidRDefault="00000000" w:rsidRPr="00000000" w14:paraId="00000061">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r2behg8gv93f" w:id="11"/>
      <w:bookmarkEnd w:id="11"/>
      <w:r w:rsidDel="00000000" w:rsidR="00000000" w:rsidRPr="00000000">
        <w:br w:type="page"/>
      </w:r>
      <w:r w:rsidDel="00000000" w:rsidR="00000000" w:rsidRPr="00000000">
        <w:rPr>
          <w:rtl w:val="0"/>
        </w:rPr>
      </w:r>
    </w:p>
    <w:p w:rsidR="00000000" w:rsidDel="00000000" w:rsidP="00000000" w:rsidRDefault="00000000" w:rsidRPr="00000000" w14:paraId="00000062">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480" w:line="240" w:lineRule="auto"/>
        <w:ind w:left="0" w:right="0" w:firstLine="0"/>
        <w:jc w:val="left"/>
        <w:rPr>
          <w:b w:val="1"/>
          <w:sz w:val="28"/>
          <w:szCs w:val="28"/>
        </w:rPr>
      </w:pPr>
      <w:bookmarkStart w:colFirst="0" w:colLast="0" w:name="_heading=h.pswd5h6i42dq" w:id="12"/>
      <w:bookmarkEnd w:id="12"/>
      <w:r w:rsidDel="00000000" w:rsidR="00000000" w:rsidRPr="00000000">
        <w:rPr>
          <w:b w:val="1"/>
          <w:sz w:val="28"/>
          <w:szCs w:val="28"/>
          <w:rtl w:val="0"/>
        </w:rPr>
        <w:t xml:space="preserve">3. Anexo: Figuras</w:t>
      </w:r>
      <w:r w:rsidDel="00000000" w:rsidR="00000000" w:rsidRPr="00000000">
        <w:rPr>
          <w:rtl w:val="0"/>
        </w:rPr>
      </w:r>
    </w:p>
    <w:p w:rsidR="00000000" w:rsidDel="00000000" w:rsidP="00000000" w:rsidRDefault="00000000" w:rsidRPr="00000000" w14:paraId="00000063">
      <w:pPr>
        <w:spacing w:line="240" w:lineRule="auto"/>
        <w:jc w:val="center"/>
        <w:rPr>
          <w:sz w:val="24"/>
          <w:szCs w:val="24"/>
        </w:rPr>
      </w:pPr>
      <w:r w:rsidDel="00000000" w:rsidR="00000000" w:rsidRPr="00000000">
        <w:rPr>
          <w:sz w:val="24"/>
          <w:szCs w:val="24"/>
        </w:rPr>
        <w:drawing>
          <wp:inline distB="0" distT="0" distL="0" distR="0">
            <wp:extent cx="3446300" cy="4191000"/>
            <wp:effectExtent b="0" l="0" r="0" t="0"/>
            <wp:docPr id="19" name="image3.png"/>
            <a:graphic>
              <a:graphicData uri="http://schemas.openxmlformats.org/drawingml/2006/picture">
                <pic:pic>
                  <pic:nvPicPr>
                    <pic:cNvPr id="0" name="image3.png"/>
                    <pic:cNvPicPr preferRelativeResize="0"/>
                  </pic:nvPicPr>
                  <pic:blipFill>
                    <a:blip r:embed="rId22"/>
                    <a:srcRect b="1839" l="2451" r="2510" t="2300"/>
                    <a:stretch>
                      <a:fillRect/>
                    </a:stretch>
                  </pic:blipFill>
                  <pic:spPr>
                    <a:xfrm>
                      <a:off x="0" y="0"/>
                      <a:ext cx="3446300" cy="4191000"/>
                    </a:xfrm>
                    <a:prstGeom prst="rect"/>
                    <a:ln/>
                  </pic:spPr>
                </pic:pic>
              </a:graphicData>
            </a:graphic>
          </wp:inline>
        </w:drawing>
      </w:r>
      <w:r w:rsidDel="00000000" w:rsidR="00000000" w:rsidRPr="00000000">
        <w:rPr>
          <w:rtl w:val="0"/>
        </w:rPr>
      </w:r>
    </w:p>
    <w:p w:rsidR="00000000" w:rsidDel="00000000" w:rsidP="00000000" w:rsidRDefault="00000000" w:rsidRPr="00000000" w14:paraId="00000064">
      <w:pPr>
        <w:keepNext w:val="1"/>
        <w:spacing w:after="200" w:line="240" w:lineRule="auto"/>
        <w:jc w:val="both"/>
        <w:rPr>
          <w:sz w:val="20"/>
          <w:szCs w:val="20"/>
        </w:rPr>
      </w:pPr>
      <w:r w:rsidDel="00000000" w:rsidR="00000000" w:rsidRPr="00000000">
        <w:rPr>
          <w:b w:val="1"/>
          <w:sz w:val="20"/>
          <w:szCs w:val="20"/>
          <w:rtl w:val="0"/>
        </w:rPr>
        <w:t xml:space="preserve">Figura 1: </w:t>
      </w:r>
      <w:r w:rsidDel="00000000" w:rsidR="00000000" w:rsidRPr="00000000">
        <w:rPr>
          <w:sz w:val="20"/>
          <w:szCs w:val="20"/>
          <w:rtl w:val="0"/>
        </w:rPr>
        <w:t xml:space="preserve">Hojas de maíz inoculadas con </w:t>
      </w:r>
      <w:r w:rsidDel="00000000" w:rsidR="00000000" w:rsidRPr="00000000">
        <w:rPr>
          <w:i w:val="1"/>
          <w:sz w:val="20"/>
          <w:szCs w:val="20"/>
          <w:rtl w:val="0"/>
        </w:rPr>
        <w:t xml:space="preserve">Didymella zeae-maydis</w:t>
      </w:r>
      <w:r w:rsidDel="00000000" w:rsidR="00000000" w:rsidRPr="00000000">
        <w:rPr>
          <w:sz w:val="20"/>
          <w:szCs w:val="20"/>
          <w:rtl w:val="0"/>
        </w:rPr>
        <w:t xml:space="preserve">. Las flechas señalan las zonas cloróticas (Condon </w:t>
      </w:r>
      <w:r w:rsidDel="00000000" w:rsidR="00000000" w:rsidRPr="00000000">
        <w:rPr>
          <w:i w:val="1"/>
          <w:sz w:val="20"/>
          <w:szCs w:val="20"/>
          <w:rtl w:val="0"/>
        </w:rPr>
        <w:t xml:space="preserve">et al</w:t>
      </w:r>
      <w:r w:rsidDel="00000000" w:rsidR="00000000" w:rsidRPr="00000000">
        <w:rPr>
          <w:sz w:val="20"/>
          <w:szCs w:val="20"/>
          <w:rtl w:val="0"/>
        </w:rPr>
        <w:t xml:space="preserve">., 2018).</w:t>
      </w:r>
    </w:p>
    <w:p w:rsidR="00000000" w:rsidDel="00000000" w:rsidP="00000000" w:rsidRDefault="00000000" w:rsidRPr="00000000" w14:paraId="00000065">
      <w:pPr>
        <w:spacing w:line="240" w:lineRule="auto"/>
        <w:jc w:val="center"/>
        <w:rPr>
          <w:color w:val="222222"/>
          <w:sz w:val="24"/>
          <w:szCs w:val="24"/>
          <w:highlight w:val="white"/>
        </w:rPr>
      </w:pPr>
      <w:r w:rsidDel="00000000" w:rsidR="00000000" w:rsidRPr="00000000">
        <w:rPr>
          <w:rtl w:val="0"/>
        </w:rPr>
      </w:r>
    </w:p>
    <w:p w:rsidR="00000000" w:rsidDel="00000000" w:rsidP="00000000" w:rsidRDefault="00000000" w:rsidRPr="00000000" w14:paraId="00000066">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7">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8">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9">
      <w:pPr>
        <w:spacing w:line="240" w:lineRule="auto"/>
        <w:jc w:val="both"/>
        <w:rPr>
          <w:b w:val="1"/>
          <w:sz w:val="24"/>
          <w:szCs w:val="24"/>
        </w:rPr>
      </w:pPr>
      <w:r w:rsidDel="00000000" w:rsidR="00000000" w:rsidRPr="00000000">
        <w:rPr>
          <w:rtl w:val="0"/>
        </w:rPr>
      </w:r>
    </w:p>
    <w:p w:rsidR="00000000" w:rsidDel="00000000" w:rsidP="00000000" w:rsidRDefault="00000000" w:rsidRPr="00000000" w14:paraId="0000006A">
      <w:pPr>
        <w:spacing w:line="240" w:lineRule="auto"/>
        <w:jc w:val="center"/>
        <w:rPr>
          <w:sz w:val="24"/>
          <w:szCs w:val="24"/>
        </w:rPr>
      </w:pPr>
      <w:r w:rsidDel="00000000" w:rsidR="00000000" w:rsidRPr="00000000">
        <w:rPr>
          <w:sz w:val="24"/>
          <w:szCs w:val="24"/>
        </w:rPr>
        <w:drawing>
          <wp:inline distB="0" distT="0" distL="0" distR="0">
            <wp:extent cx="4326100" cy="3412915"/>
            <wp:effectExtent b="0" l="0" r="0" t="0"/>
            <wp:docPr id="18"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4326100" cy="341291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240" w:lineRule="auto"/>
        <w:jc w:val="both"/>
        <w:rPr>
          <w:color w:val="0000ff"/>
          <w:sz w:val="20"/>
          <w:szCs w:val="20"/>
          <w:u w:val="single"/>
        </w:rPr>
      </w:pPr>
      <w:r w:rsidDel="00000000" w:rsidR="00000000" w:rsidRPr="00000000">
        <w:rPr>
          <w:b w:val="1"/>
          <w:sz w:val="20"/>
          <w:szCs w:val="20"/>
          <w:rtl w:val="0"/>
        </w:rPr>
        <w:t xml:space="preserve">Figura 2:</w:t>
      </w:r>
      <w:r w:rsidDel="00000000" w:rsidR="00000000" w:rsidRPr="00000000">
        <w:rPr>
          <w:sz w:val="20"/>
          <w:szCs w:val="20"/>
          <w:rtl w:val="0"/>
        </w:rPr>
        <w:t xml:space="preserve"> Síntomas de </w:t>
      </w:r>
      <w:r w:rsidDel="00000000" w:rsidR="00000000" w:rsidRPr="00000000">
        <w:rPr>
          <w:i w:val="1"/>
          <w:sz w:val="20"/>
          <w:szCs w:val="20"/>
          <w:rtl w:val="0"/>
        </w:rPr>
        <w:t xml:space="preserve">Didymella zeae-maydis</w:t>
      </w:r>
      <w:r w:rsidDel="00000000" w:rsidR="00000000" w:rsidRPr="00000000">
        <w:rPr>
          <w:b w:val="1"/>
          <w:i w:val="1"/>
          <w:sz w:val="20"/>
          <w:szCs w:val="20"/>
          <w:rtl w:val="0"/>
        </w:rPr>
        <w:t xml:space="preserve">.</w:t>
      </w:r>
      <w:r w:rsidDel="00000000" w:rsidR="00000000" w:rsidRPr="00000000">
        <w:rPr>
          <w:sz w:val="20"/>
          <w:szCs w:val="20"/>
          <w:rtl w:val="0"/>
        </w:rPr>
        <w:t xml:space="preserve"> Se observan manchas rectangulares u ovaladas cloróticas, usualmente rodeadas por un margen rojo o violáceo. Sobre las lesiones más viejas se forman puntuaciones negras que son los picnidios. En infecciones severas y tempranas las hojas basales se vuelven totalmente cloróticas y luego mueren (University of Illinois Extension, S/F).</w:t>
      </w:r>
      <w:r w:rsidDel="00000000" w:rsidR="00000000" w:rsidRPr="00000000">
        <w:rPr>
          <w:rtl w:val="0"/>
        </w:rPr>
      </w:r>
    </w:p>
    <w:p w:rsidR="00000000" w:rsidDel="00000000" w:rsidP="00000000" w:rsidRDefault="00000000" w:rsidRPr="00000000" w14:paraId="0000006C">
      <w:pPr>
        <w:spacing w:line="240" w:lineRule="auto"/>
        <w:jc w:val="center"/>
        <w:rPr>
          <w:color w:val="222222"/>
          <w:sz w:val="24"/>
          <w:szCs w:val="24"/>
          <w:highlight w:val="white"/>
        </w:rPr>
      </w:pPr>
      <w:r w:rsidDel="00000000" w:rsidR="00000000" w:rsidRPr="00000000">
        <w:rPr>
          <w:rtl w:val="0"/>
        </w:rPr>
      </w:r>
    </w:p>
    <w:p w:rsidR="00000000" w:rsidDel="00000000" w:rsidP="00000000" w:rsidRDefault="00000000" w:rsidRPr="00000000" w14:paraId="0000006D">
      <w:pPr>
        <w:spacing w:line="240" w:lineRule="auto"/>
        <w:jc w:val="center"/>
        <w:rPr>
          <w:color w:val="222222"/>
          <w:sz w:val="24"/>
          <w:szCs w:val="24"/>
          <w:highlight w:val="white"/>
        </w:rPr>
      </w:pPr>
      <w:r w:rsidDel="00000000" w:rsidR="00000000" w:rsidRPr="00000000">
        <w:rPr>
          <w:sz w:val="24"/>
          <w:szCs w:val="24"/>
        </w:rPr>
        <w:drawing>
          <wp:inline distB="0" distT="0" distL="0" distR="0">
            <wp:extent cx="4447319" cy="2936908"/>
            <wp:effectExtent b="0" l="0" r="0" t="0"/>
            <wp:docPr id="21" name="image6.png"/>
            <a:graphic>
              <a:graphicData uri="http://schemas.openxmlformats.org/drawingml/2006/picture">
                <pic:pic>
                  <pic:nvPicPr>
                    <pic:cNvPr id="0" name="image6.png"/>
                    <pic:cNvPicPr preferRelativeResize="0"/>
                  </pic:nvPicPr>
                  <pic:blipFill>
                    <a:blip r:embed="rId24"/>
                    <a:srcRect b="0" l="0" r="0" t="0"/>
                    <a:stretch>
                      <a:fillRect/>
                    </a:stretch>
                  </pic:blipFill>
                  <pic:spPr>
                    <a:xfrm>
                      <a:off x="0" y="0"/>
                      <a:ext cx="4447319" cy="2936908"/>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1"/>
        <w:spacing w:after="200" w:line="240" w:lineRule="auto"/>
        <w:jc w:val="both"/>
        <w:rPr>
          <w:sz w:val="20"/>
          <w:szCs w:val="20"/>
        </w:rPr>
      </w:pPr>
      <w:r w:rsidDel="00000000" w:rsidR="00000000" w:rsidRPr="00000000">
        <w:rPr>
          <w:b w:val="1"/>
          <w:sz w:val="20"/>
          <w:szCs w:val="20"/>
          <w:rtl w:val="0"/>
        </w:rPr>
        <w:t xml:space="preserve">Figura 3:</w:t>
      </w:r>
      <w:r w:rsidDel="00000000" w:rsidR="00000000" w:rsidRPr="00000000">
        <w:rPr>
          <w:sz w:val="20"/>
          <w:szCs w:val="20"/>
          <w:rtl w:val="0"/>
        </w:rPr>
        <w:t xml:space="preserve"> Síntomas de </w:t>
      </w:r>
      <w:r w:rsidDel="00000000" w:rsidR="00000000" w:rsidRPr="00000000">
        <w:rPr>
          <w:i w:val="1"/>
          <w:sz w:val="20"/>
          <w:szCs w:val="20"/>
          <w:rtl w:val="0"/>
        </w:rPr>
        <w:t xml:space="preserve">Didymella zeae-maydis </w:t>
      </w:r>
      <w:r w:rsidDel="00000000" w:rsidR="00000000" w:rsidRPr="00000000">
        <w:rPr>
          <w:sz w:val="20"/>
          <w:szCs w:val="20"/>
          <w:rtl w:val="0"/>
        </w:rPr>
        <w:t xml:space="preserve">en hojas de maíz (</w:t>
      </w:r>
      <w:r w:rsidDel="00000000" w:rsidR="00000000" w:rsidRPr="00000000">
        <w:rPr>
          <w:i w:val="1"/>
          <w:sz w:val="20"/>
          <w:szCs w:val="20"/>
          <w:rtl w:val="0"/>
        </w:rPr>
        <w:t xml:space="preserve">Zea mays</w:t>
      </w:r>
      <w:r w:rsidDel="00000000" w:rsidR="00000000" w:rsidRPr="00000000">
        <w:rPr>
          <w:sz w:val="20"/>
          <w:szCs w:val="20"/>
          <w:rtl w:val="0"/>
        </w:rPr>
        <w:t xml:space="preserve">)</w:t>
      </w:r>
      <w:r w:rsidDel="00000000" w:rsidR="00000000" w:rsidRPr="00000000">
        <w:rPr>
          <w:i w:val="1"/>
          <w:sz w:val="20"/>
          <w:szCs w:val="20"/>
          <w:rtl w:val="0"/>
        </w:rPr>
        <w:t xml:space="preserve"> (</w:t>
      </w:r>
      <w:r w:rsidDel="00000000" w:rsidR="00000000" w:rsidRPr="00000000">
        <w:rPr>
          <w:sz w:val="20"/>
          <w:szCs w:val="20"/>
          <w:rtl w:val="0"/>
        </w:rPr>
        <w:t xml:space="preserve">La Guía Sata, S/F).</w:t>
      </w:r>
    </w:p>
    <w:p w:rsidR="00000000" w:rsidDel="00000000" w:rsidP="00000000" w:rsidRDefault="00000000" w:rsidRPr="00000000" w14:paraId="0000006F">
      <w:pPr>
        <w:spacing w:line="240" w:lineRule="auto"/>
        <w:jc w:val="center"/>
        <w:rPr>
          <w:color w:val="222222"/>
          <w:sz w:val="24"/>
          <w:szCs w:val="24"/>
          <w:highlight w:val="white"/>
        </w:rPr>
      </w:pPr>
      <w:r w:rsidDel="00000000" w:rsidR="00000000" w:rsidRPr="00000000">
        <w:rPr>
          <w:rtl w:val="0"/>
        </w:rPr>
      </w:r>
    </w:p>
    <w:p w:rsidR="00000000" w:rsidDel="00000000" w:rsidP="00000000" w:rsidRDefault="00000000" w:rsidRPr="00000000" w14:paraId="00000070">
      <w:pPr>
        <w:keepNext w:val="1"/>
        <w:spacing w:line="240" w:lineRule="auto"/>
        <w:jc w:val="both"/>
        <w:rPr>
          <w:sz w:val="24"/>
          <w:szCs w:val="24"/>
        </w:rPr>
      </w:pPr>
      <w:r w:rsidDel="00000000" w:rsidR="00000000" w:rsidRPr="00000000">
        <w:rPr>
          <w:rtl w:val="0"/>
        </w:rPr>
      </w:r>
    </w:p>
    <w:p w:rsidR="00000000" w:rsidDel="00000000" w:rsidP="00000000" w:rsidRDefault="00000000" w:rsidRPr="00000000" w14:paraId="00000071">
      <w:pPr>
        <w:spacing w:line="360" w:lineRule="auto"/>
        <w:jc w:val="center"/>
        <w:rPr/>
      </w:pPr>
      <w:r w:rsidDel="00000000" w:rsidR="00000000" w:rsidRPr="00000000">
        <w:rPr/>
        <w:drawing>
          <wp:inline distB="0" distT="0" distL="0" distR="0">
            <wp:extent cx="5305425" cy="3554959"/>
            <wp:effectExtent b="0" l="0" r="0" t="0"/>
            <wp:docPr id="20" name="image4.png"/>
            <a:graphic>
              <a:graphicData uri="http://schemas.openxmlformats.org/drawingml/2006/picture">
                <pic:pic>
                  <pic:nvPicPr>
                    <pic:cNvPr id="0" name="image4.png"/>
                    <pic:cNvPicPr preferRelativeResize="0"/>
                  </pic:nvPicPr>
                  <pic:blipFill>
                    <a:blip r:embed="rId25"/>
                    <a:srcRect b="0" l="0" r="0" t="0"/>
                    <a:stretch>
                      <a:fillRect/>
                    </a:stretch>
                  </pic:blipFill>
                  <pic:spPr>
                    <a:xfrm>
                      <a:off x="0" y="0"/>
                      <a:ext cx="5305425" cy="3554959"/>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keepNext w:val="1"/>
        <w:spacing w:line="240" w:lineRule="auto"/>
        <w:jc w:val="both"/>
        <w:rPr>
          <w:sz w:val="18"/>
          <w:szCs w:val="18"/>
        </w:rPr>
      </w:pPr>
      <w:r w:rsidDel="00000000" w:rsidR="00000000" w:rsidRPr="00000000">
        <w:rPr>
          <w:b w:val="1"/>
          <w:sz w:val="20"/>
          <w:szCs w:val="20"/>
          <w:rtl w:val="0"/>
        </w:rPr>
        <w:t xml:space="preserve">Figura 4: </w:t>
      </w:r>
      <w:r w:rsidDel="00000000" w:rsidR="00000000" w:rsidRPr="00000000">
        <w:rPr>
          <w:sz w:val="20"/>
          <w:szCs w:val="20"/>
          <w:rtl w:val="0"/>
        </w:rPr>
        <w:t xml:space="preserve">Síntomas de </w:t>
      </w:r>
      <w:r w:rsidDel="00000000" w:rsidR="00000000" w:rsidRPr="00000000">
        <w:rPr>
          <w:i w:val="1"/>
          <w:sz w:val="20"/>
          <w:szCs w:val="20"/>
          <w:rtl w:val="0"/>
        </w:rPr>
        <w:t xml:space="preserve">Didymella zeae-maydis </w:t>
      </w:r>
      <w:r w:rsidDel="00000000" w:rsidR="00000000" w:rsidRPr="00000000">
        <w:rPr>
          <w:sz w:val="20"/>
          <w:szCs w:val="20"/>
          <w:rtl w:val="0"/>
        </w:rPr>
        <w:t xml:space="preserve">en cultivo de maíz (</w:t>
      </w:r>
      <w:r w:rsidDel="00000000" w:rsidR="00000000" w:rsidRPr="00000000">
        <w:rPr>
          <w:i w:val="1"/>
          <w:sz w:val="20"/>
          <w:szCs w:val="20"/>
          <w:rtl w:val="0"/>
        </w:rPr>
        <w:t xml:space="preserve">Zea mays</w:t>
      </w:r>
      <w:r w:rsidDel="00000000" w:rsidR="00000000" w:rsidRPr="00000000">
        <w:rPr>
          <w:sz w:val="20"/>
          <w:szCs w:val="20"/>
          <w:rtl w:val="0"/>
        </w:rPr>
        <w:t xml:space="preserve">) (La Guía Sata, S/F).</w:t>
      </w:r>
      <w:r w:rsidDel="00000000" w:rsidR="00000000" w:rsidRPr="00000000">
        <w:rPr>
          <w:rtl w:val="0"/>
        </w:rPr>
      </w:r>
    </w:p>
    <w:sectPr>
      <w:headerReference r:id="rId26" w:type="default"/>
      <w:headerReference r:id="rId27" w:type="first"/>
      <w:footerReference r:id="rId28" w:type="default"/>
      <w:footerReference r:id="rId29" w:type="first"/>
      <w:pgSz w:h="16820" w:w="11900" w:orient="portrait"/>
      <w:pgMar w:bottom="1536" w:top="1984.251968503937" w:left="1710" w:right="183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spacing w:line="240" w:lineRule="auto"/>
      <w:jc w:val="right"/>
      <w:rPr>
        <w:color w:val="7f7f7f"/>
        <w:sz w:val="18"/>
        <w:szCs w:val="18"/>
      </w:rPr>
    </w:pPr>
    <w:r w:rsidDel="00000000" w:rsidR="00000000" w:rsidRPr="00000000">
      <w:rPr>
        <w:color w:val="7f7f7f"/>
        <w:sz w:val="18"/>
        <w:szCs w:val="18"/>
        <w:rtl w:val="0"/>
      </w:rPr>
      <w:t xml:space="preserve">Anexo</w:t>
    </w:r>
    <w:r w:rsidDel="00000000" w:rsidR="00000000" w:rsidRPr="00000000">
      <w:rPr>
        <w:i w:val="1"/>
        <w:color w:val="7f7f7f"/>
        <w:sz w:val="18"/>
        <w:szCs w:val="18"/>
        <w:rtl w:val="0"/>
      </w:rPr>
      <w:t xml:space="preserve"> Didymella maydis </w:t>
    </w:r>
    <w:r w:rsidDel="00000000" w:rsidR="00000000" w:rsidRPr="00000000">
      <w:rPr>
        <w:color w:val="7f7f7f"/>
        <w:sz w:val="18"/>
        <w:szCs w:val="18"/>
        <w:rtl w:val="0"/>
      </w:rPr>
      <w:t xml:space="preserve">•  Plan Piloto Regional para la certificación fitosanitaria de semilla de </w:t>
    </w:r>
    <w:r w:rsidDel="00000000" w:rsidR="00000000" w:rsidRPr="00000000">
      <w:rPr>
        <w:i w:val="1"/>
        <w:color w:val="7f7f7f"/>
        <w:sz w:val="18"/>
        <w:szCs w:val="18"/>
        <w:rtl w:val="0"/>
      </w:rPr>
      <w:t xml:space="preserve">Zea Mays </w:t>
    </w:r>
    <w:r w:rsidDel="00000000" w:rsidR="00000000" w:rsidRPr="00000000">
      <w:rPr>
        <w:color w:val="7f7f7f"/>
        <w:sz w:val="18"/>
        <w:szCs w:val="18"/>
        <w:rtl w:val="0"/>
      </w:rPr>
      <w:t xml:space="preserve">con uso previsto propagación y propósito experimentación bajo un enfoque de sistemas •</w:t>
    </w:r>
  </w:p>
  <w:p w:rsidR="00000000" w:rsidDel="00000000" w:rsidP="00000000" w:rsidRDefault="00000000" w:rsidRPr="00000000" w14:paraId="00000077">
    <w:pPr>
      <w:spacing w:line="240" w:lineRule="auto"/>
      <w:jc w:val="right"/>
      <w:rPr/>
    </w:pPr>
    <w:r w:rsidDel="00000000" w:rsidR="00000000" w:rsidRPr="00000000">
      <w:rPr>
        <w:color w:val="7f7f7f"/>
        <w:sz w:val="18"/>
        <w:szCs w:val="18"/>
        <w:rtl w:val="0"/>
      </w:rPr>
      <w:t xml:space="preserve">COSAVE – página </w:t>
    </w:r>
    <w:r w:rsidDel="00000000" w:rsidR="00000000" w:rsidRPr="00000000">
      <w:rPr>
        <w:color w:val="7f7f7f"/>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4">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-917411</wp:posOffset>
          </wp:positionH>
          <wp:positionV relativeFrom="paragraph">
            <wp:posOffset>114300</wp:posOffset>
          </wp:positionV>
          <wp:extent cx="7143750" cy="1009650"/>
          <wp:effectExtent b="0" l="0" r="0" t="0"/>
          <wp:wrapNone/>
          <wp:docPr id="16" name="image1.png"/>
          <a:graphic>
            <a:graphicData uri="http://schemas.openxmlformats.org/drawingml/2006/picture">
              <pic:pic>
                <pic:nvPicPr>
                  <pic:cNvPr id="0" name="image1.png"/>
                  <pic:cNvPicPr preferRelativeResize="0"/>
                </pic:nvPicPr>
                <pic:blipFill>
                  <a:blip r:embed="rId1"/>
                  <a:srcRect b="0" l="3588" r="3588" t="14516"/>
                  <a:stretch>
                    <a:fillRect/>
                  </a:stretch>
                </pic:blipFill>
                <pic:spPr>
                  <a:xfrm>
                    <a:off x="0" y="0"/>
                    <a:ext cx="7143750" cy="1009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Prrafodelista">
    <w:name w:val="List Paragraph"/>
    <w:basedOn w:val="Normal"/>
    <w:uiPriority w:val="34"/>
    <w:qFormat w:val="1"/>
    <w:rsid w:val="001201BD"/>
    <w:pPr>
      <w:spacing w:after="160" w:line="259" w:lineRule="auto"/>
      <w:ind w:left="720"/>
      <w:contextualSpacing w:val="1"/>
    </w:pPr>
    <w:rPr>
      <w:rFonts w:asciiTheme="minorHAnsi" w:cstheme="minorBidi" w:eastAsiaTheme="minorHAnsi" w:hAnsiTheme="minorHAnsi"/>
      <w:lang w:eastAsia="en-US" w:val="es-PY"/>
    </w:rPr>
  </w:style>
  <w:style w:type="character" w:styleId="Hipervnculo">
    <w:name w:val="Hyperlink"/>
    <w:basedOn w:val="Fuentedeprrafopredeter"/>
    <w:uiPriority w:val="99"/>
    <w:unhideWhenUsed w:val="1"/>
    <w:rsid w:val="001201BD"/>
    <w:rPr>
      <w:color w:val="0000ff" w:themeColor="hyperlink"/>
      <w:u w:val="single"/>
    </w:rPr>
  </w:style>
  <w:style w:type="paragraph" w:styleId="NormalWeb">
    <w:name w:val="Normal (Web)"/>
    <w:basedOn w:val="Normal"/>
    <w:uiPriority w:val="99"/>
    <w:semiHidden w:val="1"/>
    <w:unhideWhenUsed w:val="1"/>
    <w:rsid w:val="001201BD"/>
    <w:pPr>
      <w:spacing w:after="100" w:afterAutospacing="1" w:before="100" w:beforeAutospacing="1" w:line="240" w:lineRule="auto"/>
    </w:pPr>
    <w:rPr>
      <w:rFonts w:ascii="Times New Roman" w:cs="Times New Roman" w:eastAsia="Times New Roman" w:hAnsi="Times New Roman"/>
      <w:sz w:val="24"/>
      <w:szCs w:val="24"/>
      <w:lang w:eastAsia="es-PY" w:val="es-PY"/>
    </w:rPr>
  </w:style>
  <w:style w:type="character" w:styleId="Textoennegrita">
    <w:name w:val="Strong"/>
    <w:basedOn w:val="Fuentedeprrafopredeter"/>
    <w:uiPriority w:val="22"/>
    <w:qFormat w:val="1"/>
    <w:rsid w:val="001201BD"/>
    <w:rPr>
      <w:b w:val="1"/>
      <w:bCs w:val="1"/>
    </w:rPr>
  </w:style>
  <w:style w:type="paragraph" w:styleId="Encabezado">
    <w:name w:val="header"/>
    <w:basedOn w:val="Normal"/>
    <w:link w:val="EncabezadoCar"/>
    <w:uiPriority w:val="99"/>
    <w:unhideWhenUsed w:val="1"/>
    <w:rsid w:val="00CD3534"/>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CD3534"/>
  </w:style>
  <w:style w:type="paragraph" w:styleId="Piedepgina">
    <w:name w:val="footer"/>
    <w:basedOn w:val="Normal"/>
    <w:link w:val="PiedepginaCar"/>
    <w:uiPriority w:val="99"/>
    <w:unhideWhenUsed w:val="1"/>
    <w:rsid w:val="00CD3534"/>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CD3534"/>
  </w:style>
  <w:style w:type="character" w:styleId="Refdecomentario">
    <w:name w:val="annotation reference"/>
    <w:basedOn w:val="Fuentedeprrafopredeter"/>
    <w:uiPriority w:val="99"/>
    <w:semiHidden w:val="1"/>
    <w:unhideWhenUsed w:val="1"/>
    <w:rsid w:val="009B1CB8"/>
    <w:rPr>
      <w:sz w:val="16"/>
      <w:szCs w:val="16"/>
    </w:rPr>
  </w:style>
  <w:style w:type="paragraph" w:styleId="Textocomentario">
    <w:name w:val="annotation text"/>
    <w:basedOn w:val="Normal"/>
    <w:link w:val="TextocomentarioCar"/>
    <w:uiPriority w:val="99"/>
    <w:semiHidden w:val="1"/>
    <w:unhideWhenUsed w:val="1"/>
    <w:rsid w:val="009B1CB8"/>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9B1CB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B1CB8"/>
    <w:rPr>
      <w:b w:val="1"/>
      <w:bCs w:val="1"/>
    </w:rPr>
  </w:style>
  <w:style w:type="character" w:styleId="AsuntodelcomentarioCar" w:customStyle="1">
    <w:name w:val="Asunto del comentario Car"/>
    <w:basedOn w:val="TextocomentarioCar"/>
    <w:link w:val="Asuntodelcomentario"/>
    <w:uiPriority w:val="99"/>
    <w:semiHidden w:val="1"/>
    <w:rsid w:val="009B1CB8"/>
    <w:rPr>
      <w:b w:val="1"/>
      <w:bCs w:val="1"/>
      <w:sz w:val="20"/>
      <w:szCs w:val="20"/>
    </w:rPr>
  </w:style>
  <w:style w:type="character" w:styleId="Mencinsinresolver1" w:customStyle="1">
    <w:name w:val="Mención sin resolver1"/>
    <w:basedOn w:val="Fuentedeprrafopredeter"/>
    <w:uiPriority w:val="99"/>
    <w:semiHidden w:val="1"/>
    <w:unhideWhenUsed w:val="1"/>
    <w:rsid w:val="00772494"/>
    <w:rPr>
      <w:color w:val="605e5c"/>
      <w:shd w:color="auto" w:fill="e1dfdd" w:val="clear"/>
    </w:rPr>
  </w:style>
  <w:style w:type="character" w:styleId="html-italic" w:customStyle="1">
    <w:name w:val="html-italic"/>
    <w:basedOn w:val="Fuentedeprrafopredeter"/>
    <w:rsid w:val="00C85FB3"/>
  </w:style>
  <w:style w:type="character" w:styleId="nfasis">
    <w:name w:val="Emphasis"/>
    <w:basedOn w:val="Fuentedeprrafopredeter"/>
    <w:uiPriority w:val="20"/>
    <w:qFormat w:val="1"/>
    <w:rsid w:val="00A5435C"/>
    <w:rPr>
      <w:i w:val="1"/>
      <w:iCs w:val="1"/>
    </w:rPr>
  </w:style>
  <w:style w:type="paragraph" w:styleId="Textodeglobo">
    <w:name w:val="Balloon Text"/>
    <w:basedOn w:val="Normal"/>
    <w:link w:val="TextodegloboCar"/>
    <w:uiPriority w:val="99"/>
    <w:semiHidden w:val="1"/>
    <w:unhideWhenUsed w:val="1"/>
    <w:rsid w:val="00381701"/>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81701"/>
    <w:rPr>
      <w:rFonts w:ascii="Segoe UI" w:cs="Segoe UI" w:hAnsi="Segoe UI"/>
      <w:sz w:val="18"/>
      <w:szCs w:val="18"/>
    </w:rPr>
  </w:style>
  <w:style w:type="character" w:styleId="topic-highlight" w:customStyle="1">
    <w:name w:val="topic-highlight"/>
    <w:basedOn w:val="Fuentedeprrafopredeter"/>
    <w:rsid w:val="00950EC9"/>
  </w:style>
  <w:style w:type="character" w:styleId="information-pathogen-detail" w:customStyle="1">
    <w:name w:val="information-pathogen-detail"/>
    <w:basedOn w:val="Fuentedeprrafopredeter"/>
    <w:rsid w:val="007F50D0"/>
  </w:style>
  <w:style w:type="paragraph" w:styleId="Epgrafe">
    <w:name w:val="caption"/>
    <w:basedOn w:val="Normal"/>
    <w:next w:val="Normal"/>
    <w:uiPriority w:val="35"/>
    <w:semiHidden w:val="1"/>
    <w:unhideWhenUsed w:val="1"/>
    <w:qFormat w:val="1"/>
    <w:rsid w:val="00954903"/>
    <w:pPr>
      <w:spacing w:after="200" w:line="240" w:lineRule="auto"/>
    </w:pPr>
    <w:rPr>
      <w:b w:val="1"/>
      <w:bCs w:val="1"/>
      <w:color w:val="4f81bd" w:themeColor="accent1"/>
      <w:sz w:val="18"/>
      <w:szCs w:val="18"/>
    </w:rPr>
  </w:style>
  <w:style w:type="paragraph" w:styleId="Revisin">
    <w:name w:val="Revision"/>
    <w:hidden w:val="1"/>
    <w:uiPriority w:val="99"/>
    <w:semiHidden w:val="1"/>
    <w:rsid w:val="00C0129A"/>
    <w:pPr>
      <w:spacing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apsnet.org/publications/phytopathology/backissues/Documents/1973Articles/Phyto63n04_529.PDF" TargetMode="External"/><Relationship Id="rId22" Type="http://schemas.openxmlformats.org/officeDocument/2006/relationships/image" Target="media/image3.png"/><Relationship Id="rId21" Type="http://schemas.openxmlformats.org/officeDocument/2006/relationships/hyperlink" Target="https://extension.missouri.edu/media/wysiwyg/Extensiondata/Pub/pdf/agguides/pests/ps0101.pdf" TargetMode="External"/><Relationship Id="rId24" Type="http://schemas.openxmlformats.org/officeDocument/2006/relationships/image" Target="media/image6.png"/><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peciesfungorum.org/Names/Names.asp?strGenus=Phoma" TargetMode="External"/><Relationship Id="rId26" Type="http://schemas.openxmlformats.org/officeDocument/2006/relationships/header" Target="header2.xml"/><Relationship Id="rId25" Type="http://schemas.openxmlformats.org/officeDocument/2006/relationships/image" Target="media/image4.pn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1.xml"/><Relationship Id="rId7" Type="http://schemas.openxmlformats.org/officeDocument/2006/relationships/image" Target="media/image2.png"/><Relationship Id="rId8" Type="http://schemas.openxmlformats.org/officeDocument/2006/relationships/hyperlink" Target="http://www.speciesfungorum.org/Names/NamesRecord.asp?RecordID=320374" TargetMode="External"/><Relationship Id="rId11" Type="http://schemas.openxmlformats.org/officeDocument/2006/relationships/hyperlink" Target="https://www.cabi.org/cpc/datasheet/57417" TargetMode="External"/><Relationship Id="rId10" Type="http://schemas.openxmlformats.org/officeDocument/2006/relationships/hyperlink" Target="http://www.speciesfungorum.org/Names/NamesRecord.asp?RecordID=168666" TargetMode="External"/><Relationship Id="rId13" Type="http://schemas.openxmlformats.org/officeDocument/2006/relationships/hyperlink" Target="about:blank" TargetMode="External"/><Relationship Id="rId12" Type="http://schemas.openxmlformats.org/officeDocument/2006/relationships/hyperlink" Target="https://www.apsnet.org/publications/phytopathology/backissues/Documents/1971Articles/Phyto61n10_1170.pdf" TargetMode="External"/><Relationship Id="rId15" Type="http://schemas.openxmlformats.org/officeDocument/2006/relationships/hyperlink" Target="about:blank" TargetMode="External"/><Relationship Id="rId14" Type="http://schemas.openxmlformats.org/officeDocument/2006/relationships/hyperlink" Target="about:blank" TargetMode="External"/><Relationship Id="rId17" Type="http://schemas.openxmlformats.org/officeDocument/2006/relationships/hyperlink" Target="about:blank" TargetMode="External"/><Relationship Id="rId16" Type="http://schemas.openxmlformats.org/officeDocument/2006/relationships/hyperlink" Target="about:blank" TargetMode="External"/><Relationship Id="rId19" Type="http://schemas.openxmlformats.org/officeDocument/2006/relationships/hyperlink" Target="https://www.apsnet.org/publications/phytopathology/backissues/Documents/1973Articles/Phyto63n04_529.PDF" TargetMode="External"/><Relationship Id="rId18" Type="http://schemas.openxmlformats.org/officeDocument/2006/relationships/hyperlink" Target="https://www.apsnet.org/publications/phytopathology/backissues/Documents/1973Articles/Phyto63n04_529.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g0G8MikAeNKJG0aUlsGz5uyK0g==">CgMxLjAyCGguZ2pkZ3hzMgloLjMwajB6bGwyDmgucnNsbWNvcmo0MHJ6Mg5oLnBvcTNxOTlyMms2MjIOaC4yeDE5MW1oaHJ1cGgyDmgubHVvM2JodzhvdjVuMg5oLjMxY253aHM4MjJsdjIOaC54NWh3dnB4cTU4bGsyDmguOWRtdm1hNXJwODhsMg5oLndqNjl0a2xuaDdtNTIOaC4zbHk3Z2tseWFzNWwyDmgucjJiZWhnOGd2OTNmMg5oLnBzd2Q1aDZpNDJkcTgAaiQKFHN1Z2dlc3QuZzd4NnpucHd1NmF0EgxTYWJyaW5hIE1hcnlyITFSQ2tQWWRpdW85XzdBNmlBckFQejVIYUI3SG9peklv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2022-12-12T13:37:00Z</dcterms:created>
  <dc:creator>Presidencia</dc:creator>
</cp:coreProperties>
</file>