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ind w:left="2561" w:firstLine="0"/>
        <w:rPr>
          <w:color w:val="000000"/>
          <w:sz w:val="24"/>
          <w:szCs w:val="24"/>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before="799" w:line="240" w:lineRule="auto"/>
        <w:jc w:val="center"/>
        <w:rPr>
          <w:i w:val="1"/>
          <w:color w:val="000000"/>
          <w:sz w:val="24"/>
          <w:szCs w:val="24"/>
        </w:rPr>
      </w:pPr>
      <w:r w:rsidDel="00000000" w:rsidR="00000000" w:rsidRPr="00000000">
        <w:rPr>
          <w:rtl w:val="0"/>
        </w:rPr>
      </w:r>
    </w:p>
    <w:p w:rsidR="00000000" w:rsidDel="00000000" w:rsidP="00000000" w:rsidRDefault="00000000" w:rsidRPr="00000000" w14:paraId="00000003">
      <w:pPr>
        <w:widowControl w:val="0"/>
        <w:spacing w:before="799" w:line="240" w:lineRule="auto"/>
        <w:jc w:val="center"/>
        <w:rPr>
          <w:i w:val="1"/>
          <w:color w:val="000000"/>
          <w:sz w:val="24"/>
          <w:szCs w:val="24"/>
        </w:rPr>
      </w:pPr>
      <w:r w:rsidDel="00000000" w:rsidR="00000000" w:rsidRPr="00000000">
        <w:rPr/>
        <w:drawing>
          <wp:inline distB="0" distT="0" distL="0" distR="0">
            <wp:extent cx="2129558" cy="1927860"/>
            <wp:effectExtent b="0" l="0" r="0" t="0"/>
            <wp:docPr descr="C:\Users\Usuario\AppData\Local\Microsoft\Windows\INetCache\Content.Word\COSAVE - Logo.png" id="15" name="image2.png"/>
            <a:graphic>
              <a:graphicData uri="http://schemas.openxmlformats.org/drawingml/2006/picture">
                <pic:pic>
                  <pic:nvPicPr>
                    <pic:cNvPr descr="C:\Users\Usuario\AppData\Local\Microsoft\Windows\INetCache\Content.Word\COSAVE - Logo.png" id="0" name="image2.png"/>
                    <pic:cNvPicPr preferRelativeResize="0"/>
                  </pic:nvPicPr>
                  <pic:blipFill>
                    <a:blip r:embed="rId7"/>
                    <a:srcRect b="0" l="19" r="19" t="0"/>
                    <a:stretch>
                      <a:fillRect/>
                    </a:stretch>
                  </pic:blipFill>
                  <pic:spPr>
                    <a:xfrm>
                      <a:off x="0" y="0"/>
                      <a:ext cx="2129558" cy="192786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5">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6">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7">
      <w:pPr>
        <w:spacing w:line="240" w:lineRule="auto"/>
        <w:jc w:val="center"/>
        <w:rPr>
          <w:b w:val="1"/>
          <w:sz w:val="36"/>
          <w:szCs w:val="36"/>
        </w:rPr>
      </w:pPr>
      <w:r w:rsidDel="00000000" w:rsidR="00000000" w:rsidRPr="00000000">
        <w:rPr>
          <w:rtl w:val="0"/>
        </w:rPr>
      </w:r>
    </w:p>
    <w:p w:rsidR="00000000" w:rsidDel="00000000" w:rsidP="00000000" w:rsidRDefault="00000000" w:rsidRPr="00000000" w14:paraId="00000008">
      <w:pPr>
        <w:spacing w:line="240" w:lineRule="auto"/>
        <w:jc w:val="center"/>
        <w:rPr>
          <w:b w:val="1"/>
          <w:sz w:val="32"/>
          <w:szCs w:val="32"/>
        </w:rPr>
      </w:pPr>
      <w:r w:rsidDel="00000000" w:rsidR="00000000" w:rsidRPr="00000000">
        <w:rPr>
          <w:b w:val="1"/>
          <w:sz w:val="32"/>
          <w:szCs w:val="32"/>
          <w:rtl w:val="0"/>
        </w:rPr>
        <w:t xml:space="preserve">13. Anexo: Plagas reglamentadas</w:t>
      </w:r>
    </w:p>
    <w:p w:rsidR="00000000" w:rsidDel="00000000" w:rsidP="00000000" w:rsidRDefault="00000000" w:rsidRPr="00000000" w14:paraId="00000009">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A">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B">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C">
      <w:pPr>
        <w:spacing w:line="240" w:lineRule="auto"/>
        <w:jc w:val="center"/>
        <w:rPr>
          <w:b w:val="1"/>
          <w:color w:val="000000"/>
          <w:sz w:val="32"/>
          <w:szCs w:val="32"/>
        </w:rPr>
      </w:pPr>
      <w:r w:rsidDel="00000000" w:rsidR="00000000" w:rsidRPr="00000000">
        <w:rPr>
          <w:b w:val="1"/>
          <w:i w:val="1"/>
          <w:color w:val="000000"/>
          <w:sz w:val="32"/>
          <w:szCs w:val="32"/>
          <w:rtl w:val="0"/>
        </w:rPr>
        <w:t xml:space="preserve">High plains wheat mosaic virus </w:t>
      </w:r>
      <w:r w:rsidDel="00000000" w:rsidR="00000000" w:rsidRPr="00000000">
        <w:rPr>
          <w:b w:val="1"/>
          <w:color w:val="000000"/>
          <w:sz w:val="32"/>
          <w:szCs w:val="32"/>
          <w:rtl w:val="0"/>
        </w:rPr>
        <w:t xml:space="preserve">(HPWMoV)</w:t>
      </w:r>
    </w:p>
    <w:p w:rsidR="00000000" w:rsidDel="00000000" w:rsidP="00000000" w:rsidRDefault="00000000" w:rsidRPr="00000000" w14:paraId="0000000D">
      <w:pPr>
        <w:spacing w:line="240" w:lineRule="auto"/>
        <w:jc w:val="center"/>
        <w:rPr>
          <w:sz w:val="32"/>
          <w:szCs w:val="32"/>
        </w:rPr>
      </w:pPr>
      <w:r w:rsidDel="00000000" w:rsidR="00000000" w:rsidRPr="00000000">
        <w:rPr>
          <w:rtl w:val="0"/>
        </w:rPr>
      </w:r>
    </w:p>
    <w:p w:rsidR="00000000" w:rsidDel="00000000" w:rsidP="00000000" w:rsidRDefault="00000000" w:rsidRPr="00000000" w14:paraId="0000000E">
      <w:pPr>
        <w:spacing w:line="240" w:lineRule="auto"/>
        <w:jc w:val="center"/>
        <w:rPr>
          <w:sz w:val="32"/>
          <w:szCs w:val="32"/>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b w:val="1"/>
          <w:sz w:val="28"/>
          <w:szCs w:val="28"/>
          <w:rtl w:val="0"/>
        </w:rPr>
        <w:t xml:space="preserve">Julio 2023</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before="666"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A">
      <w:pPr>
        <w:rPr>
          <w:b w:val="1"/>
          <w:sz w:val="24"/>
          <w:szCs w:val="24"/>
        </w:rPr>
      </w:pPr>
      <w:r w:rsidDel="00000000" w:rsidR="00000000" w:rsidRPr="00000000">
        <w:rPr>
          <w:b w:val="1"/>
          <w:sz w:val="24"/>
          <w:szCs w:val="24"/>
          <w:rtl w:val="0"/>
        </w:rPr>
        <w:t xml:space="preserve">Tabla de contenido</w:t>
      </w:r>
    </w:p>
    <w:p w:rsidR="00000000" w:rsidDel="00000000" w:rsidP="00000000" w:rsidRDefault="00000000" w:rsidRPr="00000000" w14:paraId="0000001B">
      <w:pPr>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l34h4f43v43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Descripción técnica de la plaga</w:t>
              <w:tab/>
              <w:t xml:space="preserve">3</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Denominación de la enfermedad</w:t>
              <w:tab/>
              <w:t xml:space="preserve">3</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fd9lrpxkl13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 Agente etiológico</w:t>
              <w:tab/>
              <w:t xml:space="preserve">3</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ub9xfzith6d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Hospedantes / Especies afectadas</w:t>
              <w:tab/>
              <w:t xml:space="preserve">3</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yoynqfki13l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Ciclo de la enfermedad </w:t>
              <w:tab/>
              <w:t xml:space="preserve">3</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vgme2xfe38o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1.3.1 Transmisión y supervivencia</w:t>
              <w:tab/>
              <w:t xml:space="preserve">3</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evul9vonjxr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1.3.2 Incidencia</w:t>
              <w:tab/>
              <w:t xml:space="preserve">4</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6tcw44vjqp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1.3.3 Síntomas asociados a los distintos órganos y estadios fenológicos</w:t>
              <w:tab/>
              <w:t xml:space="preserve">5</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vtdhl6156xb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1.3.4 Comportamiento y distribución en los lotes</w:t>
              <w:tab/>
              <w:t xml:space="preserve">5</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lymfkfxj5zq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1.3.5 Similitudes con otros patógenos</w:t>
              <w:tab/>
              <w:t xml:space="preserve">5</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ly7gklyas5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Bibliografía</w:t>
              <w:tab/>
              <w:t xml:space="preserve">6</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dnfovdvzs3a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Anexo: Figuras</w:t>
              <w:tab/>
              <w:t xml:space="preserve">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widowControl w:val="0"/>
        <w:spacing w:line="240" w:lineRule="auto"/>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sz w:val="24"/>
          <w:szCs w:val="24"/>
        </w:rPr>
      </w:pPr>
      <w:hyperlink r:id="rId8">
        <w:r w:rsidDel="00000000" w:rsidR="00000000" w:rsidRPr="00000000">
          <w:rPr>
            <w:rFonts w:ascii="Calibri" w:cs="Calibri" w:eastAsia="Calibri" w:hAnsi="Calibri"/>
            <w:color w:val="000000"/>
            <w:rtl w:val="0"/>
          </w:rPr>
          <w:tab/>
        </w:r>
      </w:hyperlink>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43">
      <w:pPr>
        <w:pBdr>
          <w:top w:space="0" w:sz="0" w:val="nil"/>
          <w:left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4">
      <w:pPr>
        <w:pBdr>
          <w:top w:space="0" w:sz="0" w:val="nil"/>
          <w:left w:space="0" w:sz="0" w:val="nil"/>
          <w:right w:space="0" w:sz="0" w:val="nil"/>
          <w:between w:space="0" w:sz="0" w:val="nil"/>
        </w:pBdr>
        <w:spacing w:line="240"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1"/>
        <w:keepNext w:val="1"/>
        <w:keepLines w:val="1"/>
        <w:spacing w:after="120" w:before="480" w:lineRule="auto"/>
        <w:rPr>
          <w:sz w:val="28"/>
          <w:szCs w:val="28"/>
          <w:vertAlign w:val="baseline"/>
        </w:rPr>
      </w:pPr>
      <w:bookmarkStart w:colFirst="0" w:colLast="0" w:name="_heading=h.l34h4f43v43k" w:id="0"/>
      <w:bookmarkEnd w:id="0"/>
      <w:r w:rsidDel="00000000" w:rsidR="00000000" w:rsidRPr="00000000">
        <w:rPr>
          <w:sz w:val="28"/>
          <w:szCs w:val="28"/>
          <w:vertAlign w:val="baseline"/>
          <w:rtl w:val="0"/>
        </w:rPr>
        <w:t xml:space="preserve">1. Descripción técnica de la plaga</w:t>
      </w:r>
    </w:p>
    <w:p w:rsidR="00000000" w:rsidDel="00000000" w:rsidP="00000000" w:rsidRDefault="00000000" w:rsidRPr="00000000" w14:paraId="00000046">
      <w:pPr>
        <w:pStyle w:val="Heading2"/>
        <w:keepNext w:val="1"/>
        <w:keepLines w:val="1"/>
        <w:spacing w:after="80" w:before="360" w:lineRule="auto"/>
        <w:rPr>
          <w:sz w:val="24"/>
          <w:szCs w:val="24"/>
          <w:vertAlign w:val="baseline"/>
        </w:rPr>
      </w:pPr>
      <w:bookmarkStart w:colFirst="0" w:colLast="0" w:name="_heading=h.30j0zll" w:id="1"/>
      <w:bookmarkEnd w:id="1"/>
      <w:r w:rsidDel="00000000" w:rsidR="00000000" w:rsidRPr="00000000">
        <w:rPr>
          <w:sz w:val="24"/>
          <w:szCs w:val="24"/>
          <w:vertAlign w:val="baseline"/>
          <w:rtl w:val="0"/>
        </w:rPr>
        <w:t xml:space="preserve">1.1 Denominación de la enfermedad</w:t>
      </w:r>
    </w:p>
    <w:p w:rsidR="00000000" w:rsidDel="00000000" w:rsidP="00000000" w:rsidRDefault="00000000" w:rsidRPr="00000000" w14:paraId="00000047">
      <w:pPr>
        <w:pStyle w:val="Heading3"/>
        <w:keepNext w:val="1"/>
        <w:keepLines w:val="1"/>
        <w:spacing w:after="200" w:before="280" w:line="240" w:lineRule="auto"/>
        <w:rPr>
          <w:sz w:val="24"/>
          <w:szCs w:val="24"/>
          <w:vertAlign w:val="baseline"/>
        </w:rPr>
      </w:pPr>
      <w:bookmarkStart w:colFirst="0" w:colLast="0" w:name="_heading=h.fd9lrpxkl13s" w:id="2"/>
      <w:bookmarkEnd w:id="2"/>
      <w:r w:rsidDel="00000000" w:rsidR="00000000" w:rsidRPr="00000000">
        <w:rPr>
          <w:sz w:val="24"/>
          <w:szCs w:val="24"/>
          <w:vertAlign w:val="baseline"/>
          <w:rtl w:val="0"/>
        </w:rPr>
        <w:t xml:space="preserve">1.1.1 Agente etiológico</w:t>
      </w:r>
    </w:p>
    <w:p w:rsidR="00000000" w:rsidDel="00000000" w:rsidP="00000000" w:rsidRDefault="00000000" w:rsidRPr="00000000" w14:paraId="00000048">
      <w:pPr>
        <w:ind w:hanging="2"/>
        <w:rPr>
          <w:sz w:val="24"/>
          <w:szCs w:val="24"/>
        </w:rPr>
      </w:pPr>
      <w:bookmarkStart w:colFirst="0" w:colLast="0" w:name="_heading=h.gjdgxs" w:id="3"/>
      <w:bookmarkEnd w:id="3"/>
      <w:r w:rsidDel="00000000" w:rsidR="00000000" w:rsidRPr="00000000">
        <w:rPr>
          <w:b w:val="1"/>
          <w:color w:val="000000"/>
          <w:sz w:val="24"/>
          <w:szCs w:val="24"/>
          <w:rtl w:val="0"/>
        </w:rPr>
        <w:t xml:space="preserve">Nombre preferido:</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High Plains wheat mosaic virus</w:t>
      </w:r>
      <w:r w:rsidDel="00000000" w:rsidR="00000000" w:rsidRPr="00000000">
        <w:rPr>
          <w:color w:val="000000"/>
          <w:sz w:val="24"/>
          <w:szCs w:val="24"/>
          <w:rtl w:val="0"/>
        </w:rPr>
        <w:t xml:space="preserve"> (HPWMo</w:t>
      </w:r>
      <w:r w:rsidDel="00000000" w:rsidR="00000000" w:rsidRPr="00000000">
        <w:rPr>
          <w:sz w:val="24"/>
          <w:szCs w:val="24"/>
          <w:rtl w:val="0"/>
        </w:rPr>
        <w:t xml:space="preserve">V)</w:t>
      </w:r>
    </w:p>
    <w:p w:rsidR="00000000" w:rsidDel="00000000" w:rsidP="00000000" w:rsidRDefault="00000000" w:rsidRPr="00000000" w14:paraId="00000049">
      <w:pPr>
        <w:spacing w:line="240" w:lineRule="auto"/>
        <w:jc w:val="both"/>
        <w:rPr>
          <w:b w:val="1"/>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4A">
      <w:pPr>
        <w:widowControl w:val="0"/>
        <w:tabs>
          <w:tab w:val="left" w:leader="none" w:pos="851"/>
        </w:tabs>
        <w:spacing w:line="240" w:lineRule="auto"/>
        <w:jc w:val="both"/>
        <w:rPr>
          <w:i w:val="1"/>
          <w:sz w:val="24"/>
          <w:szCs w:val="24"/>
        </w:rPr>
      </w:pPr>
      <w:r w:rsidDel="00000000" w:rsidR="00000000" w:rsidRPr="00000000">
        <w:rPr>
          <w:b w:val="1"/>
          <w:sz w:val="24"/>
          <w:szCs w:val="24"/>
          <w:rtl w:val="0"/>
        </w:rPr>
        <w:t xml:space="preserve">Sinonimia: </w:t>
        <w:tab/>
      </w:r>
      <w:r w:rsidDel="00000000" w:rsidR="00000000" w:rsidRPr="00000000">
        <w:rPr>
          <w:i w:val="1"/>
          <w:sz w:val="24"/>
          <w:szCs w:val="24"/>
          <w:rtl w:val="0"/>
        </w:rPr>
        <w:t xml:space="preserve">High Plains virus</w:t>
      </w:r>
    </w:p>
    <w:p w:rsidR="00000000" w:rsidDel="00000000" w:rsidP="00000000" w:rsidRDefault="00000000" w:rsidRPr="00000000" w14:paraId="0000004B">
      <w:pPr>
        <w:widowControl w:val="0"/>
        <w:spacing w:line="240" w:lineRule="auto"/>
        <w:jc w:val="both"/>
        <w:rPr>
          <w:i w:val="1"/>
          <w:sz w:val="24"/>
          <w:szCs w:val="24"/>
        </w:rPr>
      </w:pPr>
      <w:r w:rsidDel="00000000" w:rsidR="00000000" w:rsidRPr="00000000">
        <w:rPr>
          <w:i w:val="1"/>
          <w:sz w:val="24"/>
          <w:szCs w:val="24"/>
          <w:rtl w:val="0"/>
        </w:rPr>
        <w:tab/>
        <w:tab/>
        <w:t xml:space="preserve">Maize red stripe virus</w:t>
      </w:r>
    </w:p>
    <w:p w:rsidR="00000000" w:rsidDel="00000000" w:rsidP="00000000" w:rsidRDefault="00000000" w:rsidRPr="00000000" w14:paraId="0000004C">
      <w:pPr>
        <w:widowControl w:val="0"/>
        <w:spacing w:line="240" w:lineRule="auto"/>
        <w:ind w:left="1417" w:firstLine="0"/>
        <w:jc w:val="both"/>
        <w:rPr>
          <w:i w:val="1"/>
          <w:sz w:val="24"/>
          <w:szCs w:val="24"/>
        </w:rPr>
      </w:pPr>
      <w:r w:rsidDel="00000000" w:rsidR="00000000" w:rsidRPr="00000000">
        <w:rPr>
          <w:i w:val="1"/>
          <w:sz w:val="24"/>
          <w:szCs w:val="24"/>
          <w:rtl w:val="0"/>
        </w:rPr>
        <w:t xml:space="preserve">Wheat Mosaic virus</w:t>
      </w:r>
    </w:p>
    <w:p w:rsidR="00000000" w:rsidDel="00000000" w:rsidP="00000000" w:rsidRDefault="00000000" w:rsidRPr="00000000" w14:paraId="0000004D">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04E">
      <w:pPr>
        <w:spacing w:line="240" w:lineRule="auto"/>
        <w:jc w:val="both"/>
        <w:rPr>
          <w:b w:val="1"/>
          <w:color w:val="000000"/>
          <w:sz w:val="24"/>
          <w:szCs w:val="24"/>
        </w:rPr>
      </w:pPr>
      <w:r w:rsidDel="00000000" w:rsidR="00000000" w:rsidRPr="00000000">
        <w:rPr>
          <w:b w:val="1"/>
          <w:color w:val="000000"/>
          <w:sz w:val="24"/>
          <w:szCs w:val="24"/>
          <w:rtl w:val="0"/>
        </w:rPr>
        <w:t xml:space="preserve">Categorización taxonómica: </w:t>
      </w:r>
    </w:p>
    <w:p w:rsidR="00000000" w:rsidDel="00000000" w:rsidP="00000000" w:rsidRDefault="00000000" w:rsidRPr="00000000" w14:paraId="0000004F">
      <w:pPr>
        <w:spacing w:line="240" w:lineRule="auto"/>
        <w:ind w:left="510" w:hanging="195"/>
        <w:jc w:val="both"/>
        <w:rPr>
          <w:sz w:val="24"/>
          <w:szCs w:val="24"/>
        </w:rPr>
      </w:pPr>
      <w:r w:rsidDel="00000000" w:rsidR="00000000" w:rsidRPr="00000000">
        <w:rPr>
          <w:rtl w:val="0"/>
        </w:rPr>
      </w:r>
    </w:p>
    <w:p w:rsidR="00000000" w:rsidDel="00000000" w:rsidP="00000000" w:rsidRDefault="00000000" w:rsidRPr="00000000" w14:paraId="00000050">
      <w:pPr>
        <w:widowControl w:val="0"/>
        <w:tabs>
          <w:tab w:val="left" w:leader="none" w:pos="851"/>
          <w:tab w:val="left" w:leader="none" w:pos="2802"/>
        </w:tabs>
        <w:spacing w:line="240" w:lineRule="auto"/>
        <w:jc w:val="both"/>
        <w:rPr>
          <w:sz w:val="24"/>
          <w:szCs w:val="24"/>
        </w:rPr>
      </w:pPr>
      <w:r w:rsidDel="00000000" w:rsidR="00000000" w:rsidRPr="00000000">
        <w:rPr>
          <w:sz w:val="24"/>
          <w:szCs w:val="24"/>
          <w:rtl w:val="0"/>
        </w:rPr>
        <w:t xml:space="preserve">Clase: Ellioviricetes</w:t>
      </w:r>
    </w:p>
    <w:p w:rsidR="00000000" w:rsidDel="00000000" w:rsidP="00000000" w:rsidRDefault="00000000" w:rsidRPr="00000000" w14:paraId="00000051">
      <w:pPr>
        <w:widowControl w:val="0"/>
        <w:tabs>
          <w:tab w:val="left" w:leader="none" w:pos="851"/>
          <w:tab w:val="left" w:leader="none" w:pos="2802"/>
        </w:tabs>
        <w:spacing w:line="240" w:lineRule="auto"/>
        <w:jc w:val="both"/>
        <w:rPr>
          <w:sz w:val="24"/>
          <w:szCs w:val="24"/>
        </w:rPr>
      </w:pPr>
      <w:r w:rsidDel="00000000" w:rsidR="00000000" w:rsidRPr="00000000">
        <w:rPr>
          <w:sz w:val="24"/>
          <w:szCs w:val="24"/>
          <w:rtl w:val="0"/>
        </w:rPr>
        <w:t xml:space="preserve">Orden: Bunyavirales</w:t>
      </w:r>
    </w:p>
    <w:p w:rsidR="00000000" w:rsidDel="00000000" w:rsidP="00000000" w:rsidRDefault="00000000" w:rsidRPr="00000000" w14:paraId="00000052">
      <w:pPr>
        <w:widowControl w:val="0"/>
        <w:tabs>
          <w:tab w:val="left" w:leader="none" w:pos="851"/>
          <w:tab w:val="left" w:leader="none" w:pos="2802"/>
        </w:tabs>
        <w:spacing w:line="240" w:lineRule="auto"/>
        <w:jc w:val="both"/>
        <w:rPr>
          <w:sz w:val="24"/>
          <w:szCs w:val="24"/>
        </w:rPr>
      </w:pPr>
      <w:r w:rsidDel="00000000" w:rsidR="00000000" w:rsidRPr="00000000">
        <w:rPr>
          <w:sz w:val="24"/>
          <w:szCs w:val="24"/>
          <w:rtl w:val="0"/>
        </w:rPr>
        <w:t xml:space="preserve">Familia: Fimoviridae</w:t>
      </w:r>
    </w:p>
    <w:p w:rsidR="00000000" w:rsidDel="00000000" w:rsidP="00000000" w:rsidRDefault="00000000" w:rsidRPr="00000000" w14:paraId="00000053">
      <w:pPr>
        <w:widowControl w:val="0"/>
        <w:tabs>
          <w:tab w:val="left" w:leader="none" w:pos="851"/>
          <w:tab w:val="left" w:leader="none" w:pos="2802"/>
        </w:tabs>
        <w:spacing w:line="240" w:lineRule="auto"/>
        <w:jc w:val="both"/>
        <w:rPr>
          <w:sz w:val="24"/>
          <w:szCs w:val="24"/>
        </w:rPr>
      </w:pPr>
      <w:r w:rsidDel="00000000" w:rsidR="00000000" w:rsidRPr="00000000">
        <w:rPr>
          <w:sz w:val="24"/>
          <w:szCs w:val="24"/>
          <w:rtl w:val="0"/>
        </w:rPr>
        <w:t xml:space="preserve">Género: Emaravirus</w:t>
      </w:r>
    </w:p>
    <w:p w:rsidR="00000000" w:rsidDel="00000000" w:rsidP="00000000" w:rsidRDefault="00000000" w:rsidRPr="00000000" w14:paraId="00000054">
      <w:pPr>
        <w:widowControl w:val="0"/>
        <w:tabs>
          <w:tab w:val="left" w:leader="none" w:pos="851"/>
          <w:tab w:val="left" w:leader="none" w:pos="2802"/>
        </w:tabs>
        <w:spacing w:line="240" w:lineRule="auto"/>
        <w:jc w:val="both"/>
        <w:rPr>
          <w:i w:val="1"/>
          <w:sz w:val="24"/>
          <w:szCs w:val="24"/>
        </w:rPr>
      </w:pPr>
      <w:r w:rsidDel="00000000" w:rsidR="00000000" w:rsidRPr="00000000">
        <w:rPr>
          <w:sz w:val="24"/>
          <w:szCs w:val="24"/>
          <w:rtl w:val="0"/>
        </w:rPr>
        <w:t xml:space="preserve">Especie: </w:t>
      </w:r>
      <w:r w:rsidDel="00000000" w:rsidR="00000000" w:rsidRPr="00000000">
        <w:rPr>
          <w:i w:val="1"/>
          <w:sz w:val="24"/>
          <w:szCs w:val="24"/>
          <w:rtl w:val="0"/>
        </w:rPr>
        <w:t xml:space="preserve">High plains wheat mosaic virus</w:t>
      </w:r>
    </w:p>
    <w:p w:rsidR="00000000" w:rsidDel="00000000" w:rsidP="00000000" w:rsidRDefault="00000000" w:rsidRPr="00000000" w14:paraId="00000055">
      <w:pPr>
        <w:widowControl w:val="0"/>
        <w:tabs>
          <w:tab w:val="left" w:leader="none" w:pos="851"/>
          <w:tab w:val="left" w:leader="none" w:pos="2802"/>
        </w:tabs>
        <w:spacing w:line="240" w:lineRule="auto"/>
        <w:jc w:val="both"/>
        <w:rPr>
          <w:i w:val="1"/>
          <w:sz w:val="24"/>
          <w:szCs w:val="24"/>
        </w:rPr>
      </w:pPr>
      <w:r w:rsidDel="00000000" w:rsidR="00000000" w:rsidRPr="00000000">
        <w:rPr>
          <w:rtl w:val="0"/>
        </w:rPr>
      </w:r>
    </w:p>
    <w:p w:rsidR="00000000" w:rsidDel="00000000" w:rsidP="00000000" w:rsidRDefault="00000000" w:rsidRPr="00000000" w14:paraId="00000056">
      <w:pPr>
        <w:spacing w:line="240" w:lineRule="auto"/>
        <w:jc w:val="both"/>
        <w:rPr>
          <w:sz w:val="24"/>
          <w:szCs w:val="24"/>
        </w:rPr>
      </w:pPr>
      <w:r w:rsidDel="00000000" w:rsidR="00000000" w:rsidRPr="00000000">
        <w:rPr>
          <w:rtl w:val="0"/>
        </w:rPr>
      </w:r>
    </w:p>
    <w:p w:rsidR="00000000" w:rsidDel="00000000" w:rsidP="00000000" w:rsidRDefault="00000000" w:rsidRPr="00000000" w14:paraId="00000057">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ub9xfzith6dy" w:id="4"/>
      <w:bookmarkEnd w:id="4"/>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Hospedantes / Especies afectadas</w:t>
      </w:r>
    </w:p>
    <w:p w:rsidR="00000000" w:rsidDel="00000000" w:rsidP="00000000" w:rsidRDefault="00000000" w:rsidRPr="00000000" w14:paraId="00000058">
      <w:pPr>
        <w:spacing w:line="240" w:lineRule="auto"/>
        <w:jc w:val="both"/>
        <w:rPr>
          <w:i w:val="1"/>
          <w:sz w:val="24"/>
          <w:szCs w:val="24"/>
        </w:rPr>
      </w:pPr>
      <w:r w:rsidDel="00000000" w:rsidR="00000000" w:rsidRPr="00000000">
        <w:rPr>
          <w:rtl w:val="0"/>
        </w:rPr>
      </w:r>
    </w:p>
    <w:p w:rsidR="00000000" w:rsidDel="00000000" w:rsidP="00000000" w:rsidRDefault="00000000" w:rsidRPr="00000000" w14:paraId="00000059">
      <w:pPr>
        <w:spacing w:line="240" w:lineRule="auto"/>
        <w:jc w:val="both"/>
        <w:rPr>
          <w:i w:val="1"/>
          <w:sz w:val="24"/>
          <w:szCs w:val="24"/>
        </w:rPr>
      </w:pPr>
      <w:r w:rsidDel="00000000" w:rsidR="00000000" w:rsidRPr="00000000">
        <w:rPr>
          <w:i w:val="1"/>
          <w:sz w:val="24"/>
          <w:szCs w:val="24"/>
          <w:rtl w:val="0"/>
        </w:rPr>
        <w:t xml:space="preserve">Avena sativa</w:t>
      </w:r>
    </w:p>
    <w:p w:rsidR="00000000" w:rsidDel="00000000" w:rsidP="00000000" w:rsidRDefault="00000000" w:rsidRPr="00000000" w14:paraId="0000005A">
      <w:pPr>
        <w:spacing w:line="240" w:lineRule="auto"/>
        <w:jc w:val="both"/>
        <w:rPr>
          <w:i w:val="1"/>
          <w:sz w:val="24"/>
          <w:szCs w:val="24"/>
        </w:rPr>
      </w:pPr>
      <w:r w:rsidDel="00000000" w:rsidR="00000000" w:rsidRPr="00000000">
        <w:rPr>
          <w:i w:val="1"/>
          <w:sz w:val="24"/>
          <w:szCs w:val="24"/>
          <w:rtl w:val="0"/>
        </w:rPr>
        <w:t xml:space="preserve">Bromus secalinus</w:t>
      </w:r>
    </w:p>
    <w:p w:rsidR="00000000" w:rsidDel="00000000" w:rsidP="00000000" w:rsidRDefault="00000000" w:rsidRPr="00000000" w14:paraId="0000005B">
      <w:pPr>
        <w:spacing w:line="240" w:lineRule="auto"/>
        <w:jc w:val="both"/>
        <w:rPr>
          <w:i w:val="1"/>
          <w:sz w:val="24"/>
          <w:szCs w:val="24"/>
        </w:rPr>
      </w:pPr>
      <w:r w:rsidDel="00000000" w:rsidR="00000000" w:rsidRPr="00000000">
        <w:rPr>
          <w:i w:val="1"/>
          <w:sz w:val="24"/>
          <w:szCs w:val="24"/>
          <w:rtl w:val="0"/>
        </w:rPr>
        <w:t xml:space="preserve">Hordeum jubatum</w:t>
      </w:r>
    </w:p>
    <w:p w:rsidR="00000000" w:rsidDel="00000000" w:rsidP="00000000" w:rsidRDefault="00000000" w:rsidRPr="00000000" w14:paraId="0000005C">
      <w:pPr>
        <w:spacing w:line="240" w:lineRule="auto"/>
        <w:jc w:val="both"/>
        <w:rPr>
          <w:i w:val="1"/>
          <w:sz w:val="24"/>
          <w:szCs w:val="24"/>
        </w:rPr>
      </w:pPr>
      <w:r w:rsidDel="00000000" w:rsidR="00000000" w:rsidRPr="00000000">
        <w:rPr>
          <w:i w:val="1"/>
          <w:sz w:val="24"/>
          <w:szCs w:val="24"/>
          <w:rtl w:val="0"/>
        </w:rPr>
        <w:t xml:space="preserve">Hordeum vulgare</w:t>
      </w:r>
    </w:p>
    <w:p w:rsidR="00000000" w:rsidDel="00000000" w:rsidP="00000000" w:rsidRDefault="00000000" w:rsidRPr="00000000" w14:paraId="0000005D">
      <w:pPr>
        <w:spacing w:line="240" w:lineRule="auto"/>
        <w:jc w:val="both"/>
        <w:rPr>
          <w:i w:val="1"/>
          <w:sz w:val="24"/>
          <w:szCs w:val="24"/>
        </w:rPr>
      </w:pPr>
      <w:r w:rsidDel="00000000" w:rsidR="00000000" w:rsidRPr="00000000">
        <w:rPr>
          <w:i w:val="1"/>
          <w:sz w:val="24"/>
          <w:szCs w:val="24"/>
          <w:rtl w:val="0"/>
        </w:rPr>
        <w:t xml:space="preserve">Secale cereale</w:t>
      </w:r>
    </w:p>
    <w:p w:rsidR="00000000" w:rsidDel="00000000" w:rsidP="00000000" w:rsidRDefault="00000000" w:rsidRPr="00000000" w14:paraId="0000005E">
      <w:pPr>
        <w:spacing w:line="240" w:lineRule="auto"/>
        <w:jc w:val="both"/>
        <w:rPr>
          <w:i w:val="1"/>
          <w:sz w:val="24"/>
          <w:szCs w:val="24"/>
        </w:rPr>
      </w:pPr>
      <w:r w:rsidDel="00000000" w:rsidR="00000000" w:rsidRPr="00000000">
        <w:rPr>
          <w:i w:val="1"/>
          <w:sz w:val="24"/>
          <w:szCs w:val="24"/>
          <w:rtl w:val="0"/>
        </w:rPr>
        <w:t xml:space="preserve">Setaria glauca </w:t>
      </w:r>
    </w:p>
    <w:p w:rsidR="00000000" w:rsidDel="00000000" w:rsidP="00000000" w:rsidRDefault="00000000" w:rsidRPr="00000000" w14:paraId="0000005F">
      <w:pPr>
        <w:spacing w:line="240" w:lineRule="auto"/>
        <w:jc w:val="both"/>
        <w:rPr>
          <w:i w:val="1"/>
          <w:sz w:val="24"/>
          <w:szCs w:val="24"/>
        </w:rPr>
      </w:pPr>
      <w:r w:rsidDel="00000000" w:rsidR="00000000" w:rsidRPr="00000000">
        <w:rPr>
          <w:i w:val="1"/>
          <w:sz w:val="24"/>
          <w:szCs w:val="24"/>
          <w:rtl w:val="0"/>
        </w:rPr>
        <w:t xml:space="preserve">Setaria viridis </w:t>
      </w:r>
    </w:p>
    <w:p w:rsidR="00000000" w:rsidDel="00000000" w:rsidP="00000000" w:rsidRDefault="00000000" w:rsidRPr="00000000" w14:paraId="00000060">
      <w:pPr>
        <w:spacing w:line="240" w:lineRule="auto"/>
        <w:jc w:val="both"/>
        <w:rPr>
          <w:i w:val="1"/>
          <w:sz w:val="24"/>
          <w:szCs w:val="24"/>
        </w:rPr>
      </w:pPr>
      <w:r w:rsidDel="00000000" w:rsidR="00000000" w:rsidRPr="00000000">
        <w:rPr>
          <w:i w:val="1"/>
          <w:sz w:val="24"/>
          <w:szCs w:val="24"/>
          <w:rtl w:val="0"/>
        </w:rPr>
        <w:t xml:space="preserve">Triticum aestivum</w:t>
      </w:r>
    </w:p>
    <w:p w:rsidR="00000000" w:rsidDel="00000000" w:rsidP="00000000" w:rsidRDefault="00000000" w:rsidRPr="00000000" w14:paraId="00000061">
      <w:pPr>
        <w:spacing w:line="240" w:lineRule="auto"/>
        <w:jc w:val="both"/>
        <w:rPr>
          <w:i w:val="1"/>
          <w:sz w:val="24"/>
          <w:szCs w:val="24"/>
        </w:rPr>
      </w:pPr>
      <w:r w:rsidDel="00000000" w:rsidR="00000000" w:rsidRPr="00000000">
        <w:rPr>
          <w:i w:val="1"/>
          <w:sz w:val="24"/>
          <w:szCs w:val="24"/>
          <w:rtl w:val="0"/>
        </w:rPr>
        <w:t xml:space="preserve">Zea mays</w:t>
      </w:r>
    </w:p>
    <w:p w:rsidR="00000000" w:rsidDel="00000000" w:rsidP="00000000" w:rsidRDefault="00000000" w:rsidRPr="00000000" w14:paraId="00000062">
      <w:pPr>
        <w:spacing w:line="240" w:lineRule="auto"/>
        <w:rPr>
          <w:i w:val="1"/>
          <w:sz w:val="24"/>
          <w:szCs w:val="24"/>
        </w:rPr>
      </w:pPr>
      <w:r w:rsidDel="00000000" w:rsidR="00000000" w:rsidRPr="00000000">
        <w:rPr>
          <w:rtl w:val="0"/>
        </w:rPr>
      </w:r>
    </w:p>
    <w:p w:rsidR="00000000" w:rsidDel="00000000" w:rsidP="00000000" w:rsidRDefault="00000000" w:rsidRPr="00000000" w14:paraId="00000063">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yoynqfki13l5" w:id="5"/>
      <w:bookmarkEnd w:id="5"/>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Ciclo de la enfermedad </w:t>
      </w:r>
    </w:p>
    <w:p w:rsidR="00000000" w:rsidDel="00000000" w:rsidP="00000000" w:rsidRDefault="00000000" w:rsidRPr="00000000" w14:paraId="00000064">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vgme2xfe38ox" w:id="6"/>
      <w:bookmarkEnd w:id="6"/>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 Transmisión y supervivencia</w:t>
      </w:r>
    </w:p>
    <w:p w:rsidR="00000000" w:rsidDel="00000000" w:rsidP="00000000" w:rsidRDefault="00000000" w:rsidRPr="00000000" w14:paraId="00000065">
      <w:pPr>
        <w:spacing w:after="200" w:line="240" w:lineRule="auto"/>
        <w:ind w:firstLine="720"/>
        <w:jc w:val="both"/>
        <w:rPr>
          <w:sz w:val="24"/>
          <w:szCs w:val="24"/>
        </w:rPr>
      </w:pPr>
      <w:r w:rsidDel="00000000" w:rsidR="00000000" w:rsidRPr="00000000">
        <w:rPr>
          <w:i w:val="1"/>
          <w:sz w:val="24"/>
          <w:szCs w:val="24"/>
          <w:rtl w:val="0"/>
        </w:rPr>
        <w:t xml:space="preserve">High plains wheat mosaic virus </w:t>
      </w:r>
      <w:r w:rsidDel="00000000" w:rsidR="00000000" w:rsidRPr="00000000">
        <w:rPr>
          <w:sz w:val="24"/>
          <w:szCs w:val="24"/>
          <w:rtl w:val="0"/>
        </w:rPr>
        <w:t xml:space="preserve">(HPWMoV) es un patógeno relativamente nuevo, detectado en el año 1993, en las planicies altas de Estados Unidos, en cultivos de trigo y maíz. El virus fue purificado en 2006 por Skare </w:t>
      </w:r>
      <w:r w:rsidDel="00000000" w:rsidR="00000000" w:rsidRPr="00000000">
        <w:rPr>
          <w:i w:val="1"/>
          <w:sz w:val="24"/>
          <w:szCs w:val="24"/>
          <w:rtl w:val="0"/>
        </w:rPr>
        <w:t xml:space="preserve">et al.</w:t>
      </w:r>
      <w:r w:rsidDel="00000000" w:rsidR="00000000" w:rsidRPr="00000000">
        <w:rPr>
          <w:sz w:val="24"/>
          <w:szCs w:val="24"/>
          <w:rtl w:val="0"/>
        </w:rPr>
        <w:t xml:space="preserve"> (2006). HPWMoV fue identificado como una especie definitiva del género Emaravirus en 2014 (Tatineni </w:t>
      </w:r>
      <w:r w:rsidDel="00000000" w:rsidR="00000000" w:rsidRPr="00000000">
        <w:rPr>
          <w:i w:val="1"/>
          <w:sz w:val="24"/>
          <w:szCs w:val="24"/>
          <w:rtl w:val="0"/>
        </w:rPr>
        <w:t xml:space="preserve">et al</w:t>
      </w:r>
      <w:r w:rsidDel="00000000" w:rsidR="00000000" w:rsidRPr="00000000">
        <w:rPr>
          <w:sz w:val="24"/>
          <w:szCs w:val="24"/>
          <w:rtl w:val="0"/>
        </w:rPr>
        <w:t xml:space="preserve">., 2014).</w:t>
      </w:r>
    </w:p>
    <w:p w:rsidR="00000000" w:rsidDel="00000000" w:rsidP="00000000" w:rsidRDefault="00000000" w:rsidRPr="00000000" w14:paraId="00000066">
      <w:pPr>
        <w:spacing w:after="200" w:line="240" w:lineRule="auto"/>
        <w:ind w:firstLine="720"/>
        <w:jc w:val="both"/>
        <w:rPr>
          <w:sz w:val="24"/>
          <w:szCs w:val="24"/>
        </w:rPr>
      </w:pPr>
      <w:r w:rsidDel="00000000" w:rsidR="00000000" w:rsidRPr="00000000">
        <w:rPr>
          <w:sz w:val="24"/>
          <w:szCs w:val="24"/>
          <w:rtl w:val="0"/>
        </w:rPr>
        <w:t xml:space="preserve">Este nuevo patógeno se presenta usualmente junto con </w:t>
      </w:r>
      <w:r w:rsidDel="00000000" w:rsidR="00000000" w:rsidRPr="00000000">
        <w:rPr>
          <w:i w:val="1"/>
          <w:sz w:val="24"/>
          <w:szCs w:val="24"/>
          <w:rtl w:val="0"/>
        </w:rPr>
        <w:t xml:space="preserve">Wheat streak mosaic virus</w:t>
      </w:r>
      <w:r w:rsidDel="00000000" w:rsidR="00000000" w:rsidRPr="00000000">
        <w:rPr>
          <w:sz w:val="24"/>
          <w:szCs w:val="24"/>
          <w:rtl w:val="0"/>
        </w:rPr>
        <w:t xml:space="preserve"> (WSMV) ya que ambos virus son transmitidos por el mismo vector, </w:t>
      </w:r>
      <w:r w:rsidDel="00000000" w:rsidR="00000000" w:rsidRPr="00000000">
        <w:rPr>
          <w:i w:val="1"/>
          <w:sz w:val="24"/>
          <w:szCs w:val="24"/>
          <w:rtl w:val="0"/>
        </w:rPr>
        <w:t xml:space="preserve">Aceria tosichella</w:t>
      </w:r>
      <w:r w:rsidDel="00000000" w:rsidR="00000000" w:rsidRPr="00000000">
        <w:rPr>
          <w:sz w:val="24"/>
          <w:szCs w:val="24"/>
          <w:rtl w:val="0"/>
        </w:rPr>
        <w:t xml:space="preserve"> Keifer (Acarina: Eriophidae), el cual afecta a trigo, maíz, otras especies de gramíneas cultivadas (avena, cebada, centeno) y malezas (Argüello y Truol, 2009). Otra forma de transmisión natural de este virus es a través de semillas infectadas. Al respecto, se ha demostrado de acuerdo a diversos estudios que HPWMoV</w:t>
      </w:r>
      <w:r w:rsidDel="00000000" w:rsidR="00000000" w:rsidRPr="00000000">
        <w:rPr>
          <w:i w:val="1"/>
          <w:sz w:val="24"/>
          <w:szCs w:val="24"/>
          <w:rtl w:val="0"/>
        </w:rPr>
        <w:t xml:space="preserve"> </w:t>
      </w:r>
      <w:r w:rsidDel="00000000" w:rsidR="00000000" w:rsidRPr="00000000">
        <w:rPr>
          <w:sz w:val="24"/>
          <w:szCs w:val="24"/>
          <w:rtl w:val="0"/>
        </w:rPr>
        <w:t xml:space="preserve">puede transmitirse por semilla con un porcentaje que va del 0.008 al 4% (Lebas </w:t>
      </w:r>
      <w:r w:rsidDel="00000000" w:rsidR="00000000" w:rsidRPr="00000000">
        <w:rPr>
          <w:i w:val="1"/>
          <w:sz w:val="24"/>
          <w:szCs w:val="24"/>
          <w:rtl w:val="0"/>
        </w:rPr>
        <w:t xml:space="preserve">et al</w:t>
      </w:r>
      <w:r w:rsidDel="00000000" w:rsidR="00000000" w:rsidRPr="00000000">
        <w:rPr>
          <w:sz w:val="24"/>
          <w:szCs w:val="24"/>
          <w:rtl w:val="0"/>
        </w:rPr>
        <w:t xml:space="preserve">., 2005; Nischwitz, 2020; EFSA, 2022). </w:t>
      </w:r>
    </w:p>
    <w:p w:rsidR="00000000" w:rsidDel="00000000" w:rsidP="00000000" w:rsidRDefault="00000000" w:rsidRPr="00000000" w14:paraId="00000067">
      <w:pPr>
        <w:spacing w:after="200" w:line="240" w:lineRule="auto"/>
        <w:ind w:firstLine="720"/>
        <w:jc w:val="both"/>
        <w:rPr>
          <w:sz w:val="24"/>
          <w:szCs w:val="24"/>
        </w:rPr>
      </w:pPr>
      <w:r w:rsidDel="00000000" w:rsidR="00000000" w:rsidRPr="00000000">
        <w:rPr>
          <w:sz w:val="24"/>
          <w:szCs w:val="24"/>
          <w:rtl w:val="0"/>
        </w:rPr>
        <w:t xml:space="preserve">El vector </w:t>
      </w:r>
      <w:r w:rsidDel="00000000" w:rsidR="00000000" w:rsidRPr="00000000">
        <w:rPr>
          <w:i w:val="1"/>
          <w:sz w:val="24"/>
          <w:szCs w:val="24"/>
          <w:rtl w:val="0"/>
        </w:rPr>
        <w:t xml:space="preserve">A. tosichella</w:t>
      </w:r>
      <w:r w:rsidDel="00000000" w:rsidR="00000000" w:rsidRPr="00000000">
        <w:rPr>
          <w:sz w:val="24"/>
          <w:szCs w:val="24"/>
          <w:rtl w:val="0"/>
        </w:rPr>
        <w:t xml:space="preserve"> es denominado también </w:t>
      </w:r>
      <w:r w:rsidDel="00000000" w:rsidR="00000000" w:rsidRPr="00000000">
        <w:rPr>
          <w:i w:val="1"/>
          <w:sz w:val="24"/>
          <w:szCs w:val="24"/>
          <w:rtl w:val="0"/>
        </w:rPr>
        <w:t xml:space="preserve">Wheat curl mite </w:t>
      </w:r>
      <w:r w:rsidDel="00000000" w:rsidR="00000000" w:rsidRPr="00000000">
        <w:rPr>
          <w:sz w:val="24"/>
          <w:szCs w:val="24"/>
          <w:rtl w:val="0"/>
        </w:rPr>
        <w:t xml:space="preserve">(WCM), ya que en trigo provoca un enrollamiento de las hojas y se encuentra protegido dentro de ellas (Argüello y Truol, 2009). </w:t>
      </w:r>
      <w:r w:rsidDel="00000000" w:rsidR="00000000" w:rsidRPr="00000000">
        <w:rPr>
          <w:i w:val="1"/>
          <w:sz w:val="24"/>
          <w:szCs w:val="24"/>
          <w:rtl w:val="0"/>
        </w:rPr>
        <w:t xml:space="preserve">A. tosichella</w:t>
      </w:r>
      <w:r w:rsidDel="00000000" w:rsidR="00000000" w:rsidRPr="00000000">
        <w:rPr>
          <w:sz w:val="24"/>
          <w:szCs w:val="24"/>
          <w:rtl w:val="0"/>
        </w:rPr>
        <w:t xml:space="preserve"> es una plaga de baja movilidad, capaz de dispersarse a través del viento y por la ayuda de artrópodos de mayor tamaño.</w:t>
      </w:r>
    </w:p>
    <w:p w:rsidR="00000000" w:rsidDel="00000000" w:rsidP="00000000" w:rsidRDefault="00000000" w:rsidRPr="00000000" w14:paraId="00000068">
      <w:pPr>
        <w:spacing w:after="200" w:line="240" w:lineRule="auto"/>
        <w:ind w:firstLine="720"/>
        <w:jc w:val="both"/>
        <w:rPr>
          <w:sz w:val="24"/>
          <w:szCs w:val="24"/>
        </w:rPr>
      </w:pPr>
      <w:r w:rsidDel="00000000" w:rsidR="00000000" w:rsidRPr="00000000">
        <w:rPr>
          <w:sz w:val="24"/>
          <w:szCs w:val="24"/>
          <w:rtl w:val="0"/>
        </w:rPr>
        <w:t xml:space="preserve">La gama de hospedantes del HPWMoV se limita a los miembros de las Poaceae e incluye varios cereales. La cebada, el maíz, la avena, el centeno y el trigo fueron infectados por el HPWMoV en pruebas realizadas en invernaderos. Las gramíneas </w:t>
      </w:r>
      <w:r w:rsidDel="00000000" w:rsidR="00000000" w:rsidRPr="00000000">
        <w:rPr>
          <w:i w:val="1"/>
          <w:sz w:val="24"/>
          <w:szCs w:val="24"/>
          <w:rtl w:val="0"/>
        </w:rPr>
        <w:t xml:space="preserve">Bromus secalinus</w:t>
      </w:r>
      <w:r w:rsidDel="00000000" w:rsidR="00000000" w:rsidRPr="00000000">
        <w:rPr>
          <w:sz w:val="24"/>
          <w:szCs w:val="24"/>
          <w:rtl w:val="0"/>
        </w:rPr>
        <w:t xml:space="preserve"> y </w:t>
      </w:r>
      <w:r w:rsidDel="00000000" w:rsidR="00000000" w:rsidRPr="00000000">
        <w:rPr>
          <w:i w:val="1"/>
          <w:sz w:val="24"/>
          <w:szCs w:val="24"/>
          <w:rtl w:val="0"/>
        </w:rPr>
        <w:t xml:space="preserve">Setaria glauca</w:t>
      </w:r>
      <w:r w:rsidDel="00000000" w:rsidR="00000000" w:rsidRPr="00000000">
        <w:rPr>
          <w:sz w:val="24"/>
          <w:szCs w:val="24"/>
          <w:rtl w:val="0"/>
        </w:rPr>
        <w:t xml:space="preserve"> [</w:t>
      </w:r>
      <w:r w:rsidDel="00000000" w:rsidR="00000000" w:rsidRPr="00000000">
        <w:rPr>
          <w:i w:val="1"/>
          <w:sz w:val="24"/>
          <w:szCs w:val="24"/>
          <w:rtl w:val="0"/>
        </w:rPr>
        <w:t xml:space="preserve">S. pumila</w:t>
      </w:r>
      <w:r w:rsidDel="00000000" w:rsidR="00000000" w:rsidRPr="00000000">
        <w:rPr>
          <w:sz w:val="24"/>
          <w:szCs w:val="24"/>
          <w:rtl w:val="0"/>
        </w:rPr>
        <w:t xml:space="preserve">] se encontraban entre las muchas infectadas (Seifers </w:t>
      </w:r>
      <w:r w:rsidDel="00000000" w:rsidR="00000000" w:rsidRPr="00000000">
        <w:rPr>
          <w:i w:val="1"/>
          <w:sz w:val="24"/>
          <w:szCs w:val="24"/>
          <w:rtl w:val="0"/>
        </w:rPr>
        <w:t xml:space="preserve">et al</w:t>
      </w:r>
      <w:r w:rsidDel="00000000" w:rsidR="00000000" w:rsidRPr="00000000">
        <w:rPr>
          <w:sz w:val="24"/>
          <w:szCs w:val="24"/>
          <w:rtl w:val="0"/>
        </w:rPr>
        <w:t xml:space="preserve">., 1998 citado en CABI, 2023). Las plantas infectadas por el HPWMoV en la fase de plántula se ven mucho más afectadas que las infectadas en fases posteriores. Tanto el trigo como el maíz infectados en etapas más maduras pueden desarrollar pocos síntomas, o ninguno. Mahmood </w:t>
      </w:r>
      <w:r w:rsidDel="00000000" w:rsidR="00000000" w:rsidRPr="00000000">
        <w:rPr>
          <w:i w:val="1"/>
          <w:sz w:val="24"/>
          <w:szCs w:val="24"/>
          <w:rtl w:val="0"/>
        </w:rPr>
        <w:t xml:space="preserve">et al</w:t>
      </w:r>
      <w:r w:rsidDel="00000000" w:rsidR="00000000" w:rsidRPr="00000000">
        <w:rPr>
          <w:sz w:val="24"/>
          <w:szCs w:val="24"/>
          <w:rtl w:val="0"/>
        </w:rPr>
        <w:t xml:space="preserve">. (1998 citado en CABI, 2023) demostraron que puede haber una incidencia relativamente alta de infección por HPWMoV en plantas de trigo que maduran sin síntomas. El maíz susceptible infectado en una fase de plántula puede verse gravemente afectado o incluso morir, mientras que una infección similar por HPWMoV en un estadío de crecimiento más avanzado puede pasar desapercibida (Jensen, 1994 citado en CABI, 2023). El HPWMoV puede detectarse en todas las partes de la planta mediante ELISA. Ahn </w:t>
      </w:r>
      <w:r w:rsidDel="00000000" w:rsidR="00000000" w:rsidRPr="00000000">
        <w:rPr>
          <w:i w:val="1"/>
          <w:sz w:val="24"/>
          <w:szCs w:val="24"/>
          <w:rtl w:val="0"/>
        </w:rPr>
        <w:t xml:space="preserve">et al</w:t>
      </w:r>
      <w:r w:rsidDel="00000000" w:rsidR="00000000" w:rsidRPr="00000000">
        <w:rPr>
          <w:sz w:val="24"/>
          <w:szCs w:val="24"/>
          <w:rtl w:val="0"/>
        </w:rPr>
        <w:t xml:space="preserve">. (1998 citado en CABI, 2023) encontraron el HPWMoV en todos los tipos de células de las hojas infectadas de maíz y trigo.</w:t>
      </w:r>
    </w:p>
    <w:p w:rsidR="00000000" w:rsidDel="00000000" w:rsidP="00000000" w:rsidRDefault="00000000" w:rsidRPr="00000000" w14:paraId="00000069">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x8foi3or4yfq" w:id="7"/>
      <w:bookmarkEnd w:id="7"/>
      <w:r w:rsidDel="00000000" w:rsidR="00000000" w:rsidRPr="00000000">
        <w:rPr>
          <w:rtl w:val="0"/>
        </w:rPr>
      </w:r>
    </w:p>
    <w:p w:rsidR="00000000" w:rsidDel="00000000" w:rsidP="00000000" w:rsidRDefault="00000000" w:rsidRPr="00000000" w14:paraId="0000006A">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evul9vonjxry" w:id="8"/>
      <w:bookmarkEnd w:id="8"/>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.3.2 Incidencia</w:t>
      </w:r>
    </w:p>
    <w:p w:rsidR="00000000" w:rsidDel="00000000" w:rsidP="00000000" w:rsidRDefault="00000000" w:rsidRPr="00000000" w14:paraId="0000006B">
      <w:pPr>
        <w:spacing w:after="200" w:line="240" w:lineRule="auto"/>
        <w:ind w:firstLine="720"/>
        <w:jc w:val="both"/>
        <w:rPr>
          <w:color w:val="000000"/>
          <w:sz w:val="24"/>
          <w:szCs w:val="24"/>
        </w:rPr>
      </w:pPr>
      <w:r w:rsidDel="00000000" w:rsidR="00000000" w:rsidRPr="00000000">
        <w:rPr>
          <w:sz w:val="24"/>
          <w:szCs w:val="24"/>
          <w:rtl w:val="0"/>
        </w:rPr>
        <w:t xml:space="preserve">HPWMoV</w:t>
      </w:r>
      <w:r w:rsidDel="00000000" w:rsidR="00000000" w:rsidRPr="00000000">
        <w:rPr>
          <w:color w:val="000000"/>
          <w:sz w:val="24"/>
          <w:szCs w:val="24"/>
          <w:rtl w:val="0"/>
        </w:rPr>
        <w:t xml:space="preserve"> afecta principalmente a los cultivos de trigo y maíz, presentándose tanto el virus como el vector (</w:t>
      </w:r>
      <w:r w:rsidDel="00000000" w:rsidR="00000000" w:rsidRPr="00000000">
        <w:rPr>
          <w:i w:val="1"/>
          <w:color w:val="000000"/>
          <w:sz w:val="24"/>
          <w:szCs w:val="24"/>
          <w:rtl w:val="0"/>
        </w:rPr>
        <w:t xml:space="preserve">A</w:t>
      </w:r>
      <w:r w:rsidDel="00000000" w:rsidR="00000000" w:rsidRPr="00000000">
        <w:rPr>
          <w:i w:val="1"/>
          <w:sz w:val="24"/>
          <w:szCs w:val="24"/>
          <w:rtl w:val="0"/>
        </w:rPr>
        <w:t xml:space="preserve">.</w:t>
      </w:r>
      <w:r w:rsidDel="00000000" w:rsidR="00000000" w:rsidRPr="00000000">
        <w:rPr>
          <w:i w:val="1"/>
          <w:color w:val="000000"/>
          <w:sz w:val="24"/>
          <w:szCs w:val="24"/>
          <w:rtl w:val="0"/>
        </w:rPr>
        <w:t xml:space="preserve"> tosichella</w:t>
      </w:r>
      <w:r w:rsidDel="00000000" w:rsidR="00000000" w:rsidRPr="00000000">
        <w:rPr>
          <w:color w:val="000000"/>
          <w:sz w:val="24"/>
          <w:szCs w:val="24"/>
          <w:rtl w:val="0"/>
        </w:rPr>
        <w:t xml:space="preserve">) en Estados Unidos, Canadá y Argentina (Alemandri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2011; CABI, 2023). En Estados Unidos, este virus se encuentra ampliamente distribuido en el oeste, donde se han reportado pérdidas de hasta un 100% en maíz dulce y en el caso de maíz para grano, disminuciones de hasta un 75% del rendimiento. Por otra parte, en Argentina </w:t>
      </w:r>
      <w:r w:rsidDel="00000000" w:rsidR="00000000" w:rsidRPr="00000000">
        <w:rPr>
          <w:sz w:val="24"/>
          <w:szCs w:val="24"/>
          <w:rtl w:val="0"/>
        </w:rPr>
        <w:t xml:space="preserve">HPWMoV</w:t>
      </w:r>
      <w:r w:rsidDel="00000000" w:rsidR="00000000" w:rsidRPr="00000000">
        <w:rPr>
          <w:color w:val="000000"/>
          <w:sz w:val="24"/>
          <w:szCs w:val="24"/>
          <w:rtl w:val="0"/>
        </w:rPr>
        <w:t xml:space="preserve"> se ha detectado principalmente en cultivo de trigo (</w:t>
      </w:r>
      <w:r w:rsidDel="00000000" w:rsidR="00000000" w:rsidRPr="00000000">
        <w:rPr>
          <w:sz w:val="24"/>
          <w:szCs w:val="24"/>
          <w:rtl w:val="0"/>
        </w:rPr>
        <w:t xml:space="preserve">Argüello</w:t>
      </w:r>
      <w:r w:rsidDel="00000000" w:rsidR="00000000" w:rsidRPr="00000000">
        <w:rPr>
          <w:color w:val="000000"/>
          <w:sz w:val="24"/>
          <w:szCs w:val="24"/>
          <w:rtl w:val="0"/>
        </w:rPr>
        <w:t xml:space="preserve"> y Truol, 2009), aunque también en maíces de crecimiento espontáneo y en plantas de cebada como </w:t>
      </w:r>
      <w:r w:rsidDel="00000000" w:rsidR="00000000" w:rsidRPr="00000000">
        <w:rPr>
          <w:sz w:val="24"/>
          <w:szCs w:val="24"/>
          <w:rtl w:val="0"/>
        </w:rPr>
        <w:t xml:space="preserve">hospedante </w:t>
      </w:r>
      <w:r w:rsidDel="00000000" w:rsidR="00000000" w:rsidRPr="00000000">
        <w:rPr>
          <w:color w:val="000000"/>
          <w:sz w:val="24"/>
          <w:szCs w:val="24"/>
          <w:rtl w:val="0"/>
        </w:rPr>
        <w:t xml:space="preserve">alternativo (Alemandri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2011).</w:t>
      </w:r>
    </w:p>
    <w:p w:rsidR="00000000" w:rsidDel="00000000" w:rsidP="00000000" w:rsidRDefault="00000000" w:rsidRPr="00000000" w14:paraId="0000006C">
      <w:pPr>
        <w:spacing w:after="200" w:line="240" w:lineRule="auto"/>
        <w:ind w:firstLine="720"/>
        <w:jc w:val="both"/>
        <w:rPr>
          <w:color w:val="000000"/>
          <w:sz w:val="24"/>
          <w:szCs w:val="24"/>
        </w:rPr>
      </w:pPr>
      <w:r w:rsidDel="00000000" w:rsidR="00000000" w:rsidRPr="00000000">
        <w:rPr>
          <w:color w:val="000000"/>
          <w:sz w:val="24"/>
          <w:szCs w:val="24"/>
          <w:rtl w:val="0"/>
        </w:rPr>
        <w:t xml:space="preserve">Este virus puede transmitirse a través de semillas de maíz dulce, aunque en una baja incidencia (CABI, 2023), registrándose para semillas </w:t>
      </w:r>
      <w:r w:rsidDel="00000000" w:rsidR="00000000" w:rsidRPr="00000000">
        <w:rPr>
          <w:sz w:val="24"/>
          <w:szCs w:val="24"/>
          <w:rtl w:val="0"/>
        </w:rPr>
        <w:t xml:space="preserve">procedentes</w:t>
      </w:r>
      <w:r w:rsidDel="00000000" w:rsidR="00000000" w:rsidRPr="00000000">
        <w:rPr>
          <w:color w:val="000000"/>
          <w:sz w:val="24"/>
          <w:szCs w:val="24"/>
          <w:rtl w:val="0"/>
        </w:rPr>
        <w:t xml:space="preserve"> de Colorado (Estados Unidos), un 4% de incidencia mediante test de ELISA (Blunt y Hill, 2004). </w:t>
      </w:r>
    </w:p>
    <w:p w:rsidR="00000000" w:rsidDel="00000000" w:rsidP="00000000" w:rsidRDefault="00000000" w:rsidRPr="00000000" w14:paraId="0000006D">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6E">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6tcw44vjqpnk" w:id="9"/>
      <w:bookmarkEnd w:id="9"/>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.3.3 Síntomas asociados a los distintos órganos y estadios fenológicos</w:t>
      </w:r>
    </w:p>
    <w:p w:rsidR="00000000" w:rsidDel="00000000" w:rsidP="00000000" w:rsidRDefault="00000000" w:rsidRPr="00000000" w14:paraId="0000006F">
      <w:pPr>
        <w:spacing w:after="200" w:line="240" w:lineRule="auto"/>
        <w:ind w:firstLine="720"/>
        <w:jc w:val="both"/>
        <w:rPr>
          <w:color w:val="000000"/>
          <w:sz w:val="24"/>
          <w:szCs w:val="24"/>
        </w:rPr>
      </w:pPr>
      <w:r w:rsidDel="00000000" w:rsidR="00000000" w:rsidRPr="00000000">
        <w:rPr>
          <w:color w:val="000000"/>
          <w:sz w:val="24"/>
          <w:szCs w:val="24"/>
          <w:rtl w:val="0"/>
        </w:rPr>
        <w:t xml:space="preserve">Los síntomas de </w:t>
      </w:r>
      <w:r w:rsidDel="00000000" w:rsidR="00000000" w:rsidRPr="00000000">
        <w:rPr>
          <w:sz w:val="24"/>
          <w:szCs w:val="24"/>
          <w:rtl w:val="0"/>
        </w:rPr>
        <w:t xml:space="preserve">HPWMoV</w:t>
      </w:r>
      <w:r w:rsidDel="00000000" w:rsidR="00000000" w:rsidRPr="00000000">
        <w:rPr>
          <w:color w:val="000000"/>
          <w:sz w:val="24"/>
          <w:szCs w:val="24"/>
          <w:rtl w:val="0"/>
        </w:rPr>
        <w:t xml:space="preserve"> en trigo se manifiestan principalmente en hojas. En ellas se observa enrollamiento, moteado, clorosis y/o necrosis, también puede causar un enanismo severo. La intensidad de los síntomas puede variar de media a severa según sea el momento de infección, la temperatura, la susceptibilidad del hospedante y si se encuentra con infecciones mixtas con WSMV. En este último caso se tornan más importantes comparados con infecciones simples, manifestándose un mosaico y estriado severo, disminución del número de espiguillas y espigas, y una muerte súbita de plantas en los casos en que la infección haya ocurrido en estados fenológicos tempranos (</w:t>
      </w:r>
      <w:r w:rsidDel="00000000" w:rsidR="00000000" w:rsidRPr="00000000">
        <w:rPr>
          <w:sz w:val="24"/>
          <w:szCs w:val="24"/>
          <w:rtl w:val="0"/>
        </w:rPr>
        <w:t xml:space="preserve">Argüello</w:t>
      </w:r>
      <w:r w:rsidDel="00000000" w:rsidR="00000000" w:rsidRPr="00000000">
        <w:rPr>
          <w:color w:val="000000"/>
          <w:sz w:val="24"/>
          <w:szCs w:val="24"/>
          <w:rtl w:val="0"/>
        </w:rPr>
        <w:t xml:space="preserve"> y Truol, 2009).</w:t>
      </w:r>
    </w:p>
    <w:p w:rsidR="00000000" w:rsidDel="00000000" w:rsidP="00000000" w:rsidRDefault="00000000" w:rsidRPr="00000000" w14:paraId="00000070">
      <w:pPr>
        <w:spacing w:after="200" w:line="240" w:lineRule="auto"/>
        <w:ind w:firstLine="720"/>
        <w:jc w:val="both"/>
        <w:rPr>
          <w:color w:val="000000"/>
          <w:sz w:val="24"/>
          <w:szCs w:val="24"/>
        </w:rPr>
      </w:pPr>
      <w:r w:rsidDel="00000000" w:rsidR="00000000" w:rsidRPr="00000000">
        <w:rPr>
          <w:color w:val="000000"/>
          <w:sz w:val="24"/>
          <w:szCs w:val="24"/>
          <w:rtl w:val="0"/>
        </w:rPr>
        <w:t xml:space="preserve">En maíz, </w:t>
      </w:r>
      <w:r w:rsidDel="00000000" w:rsidR="00000000" w:rsidRPr="00000000">
        <w:rPr>
          <w:sz w:val="24"/>
          <w:szCs w:val="24"/>
          <w:rtl w:val="0"/>
        </w:rPr>
        <w:t xml:space="preserve">HPWMoV</w:t>
      </w:r>
      <w:r w:rsidDel="00000000" w:rsidR="00000000" w:rsidRPr="00000000">
        <w:rPr>
          <w:color w:val="000000"/>
          <w:sz w:val="24"/>
          <w:szCs w:val="24"/>
          <w:rtl w:val="0"/>
        </w:rPr>
        <w:t xml:space="preserve"> produce un estriado rojizo en los bordes y puntas de las hojas, además de manchas y estrías cloróticas, necrosis de las hojas más bajas y muerte de la planta (</w:t>
      </w:r>
      <w:r w:rsidDel="00000000" w:rsidR="00000000" w:rsidRPr="00000000">
        <w:rPr>
          <w:sz w:val="24"/>
          <w:szCs w:val="24"/>
          <w:rtl w:val="0"/>
        </w:rPr>
        <w:t xml:space="preserve">Argüello</w:t>
      </w:r>
      <w:r w:rsidDel="00000000" w:rsidR="00000000" w:rsidRPr="00000000">
        <w:rPr>
          <w:color w:val="000000"/>
          <w:sz w:val="24"/>
          <w:szCs w:val="24"/>
          <w:rtl w:val="0"/>
        </w:rPr>
        <w:t xml:space="preserve"> y Truol, 2009).</w:t>
      </w:r>
    </w:p>
    <w:p w:rsidR="00000000" w:rsidDel="00000000" w:rsidP="00000000" w:rsidRDefault="00000000" w:rsidRPr="00000000" w14:paraId="00000071">
      <w:pPr>
        <w:spacing w:after="200" w:line="240" w:lineRule="auto"/>
        <w:rPr>
          <w:color w:val="000000"/>
          <w:sz w:val="24"/>
          <w:szCs w:val="24"/>
        </w:rPr>
      </w:pPr>
      <w:r w:rsidDel="00000000" w:rsidR="00000000" w:rsidRPr="00000000">
        <w:rPr>
          <w:rtl w:val="0"/>
        </w:rPr>
      </w:r>
    </w:p>
    <w:p w:rsidR="00000000" w:rsidDel="00000000" w:rsidP="00000000" w:rsidRDefault="00000000" w:rsidRPr="00000000" w14:paraId="00000072">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vtdhl6156xba" w:id="10"/>
      <w:bookmarkEnd w:id="10"/>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.3.4 Comportamiento y distribución en los lotes</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sz w:val="24"/>
          <w:szCs w:val="24"/>
        </w:rPr>
      </w:pPr>
      <w:r w:rsidDel="00000000" w:rsidR="00000000" w:rsidRPr="00000000">
        <w:rPr>
          <w:sz w:val="24"/>
          <w:szCs w:val="24"/>
          <w:rtl w:val="0"/>
        </w:rPr>
        <w:t xml:space="preserve">Seifers </w:t>
      </w:r>
      <w:r w:rsidDel="00000000" w:rsidR="00000000" w:rsidRPr="00000000">
        <w:rPr>
          <w:i w:val="1"/>
          <w:sz w:val="24"/>
          <w:szCs w:val="24"/>
          <w:rtl w:val="0"/>
        </w:rPr>
        <w:t xml:space="preserve">et al</w:t>
      </w:r>
      <w:r w:rsidDel="00000000" w:rsidR="00000000" w:rsidRPr="00000000">
        <w:rPr>
          <w:sz w:val="24"/>
          <w:szCs w:val="24"/>
          <w:rtl w:val="0"/>
        </w:rPr>
        <w:t xml:space="preserve">. (1997) informan de una alta incidencia de este virus en producciones de maíz dulce adyacentes a campos de trigo, sin embargo también observaron que dicha incidencia disminuyó en la medida que aumentaba la distancia al cultivo de trigo. Esto se debe a que es poco probable que la transmisión de HPWMoV a través de </w:t>
      </w:r>
      <w:r w:rsidDel="00000000" w:rsidR="00000000" w:rsidRPr="00000000">
        <w:rPr>
          <w:i w:val="1"/>
          <w:sz w:val="24"/>
          <w:szCs w:val="24"/>
          <w:rtl w:val="0"/>
        </w:rPr>
        <w:t xml:space="preserve">A. tosichella</w:t>
      </w:r>
      <w:r w:rsidDel="00000000" w:rsidR="00000000" w:rsidRPr="00000000">
        <w:rPr>
          <w:sz w:val="24"/>
          <w:szCs w:val="24"/>
          <w:rtl w:val="0"/>
        </w:rPr>
        <w:t xml:space="preserve">  se produzca a grandes distancias.</w:t>
      </w:r>
    </w:p>
    <w:p w:rsidR="00000000" w:rsidDel="00000000" w:rsidP="00000000" w:rsidRDefault="00000000" w:rsidRPr="00000000" w14:paraId="00000074">
      <w:pPr>
        <w:spacing w:after="20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lymfkfxj5zq1" w:id="11"/>
      <w:bookmarkEnd w:id="1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b w:val="1"/>
          <w:sz w:val="24"/>
          <w:szCs w:val="24"/>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3.5 Similitudes con otros patógenos</w:t>
      </w:r>
      <w:r w:rsidDel="00000000" w:rsidR="00000000" w:rsidRPr="00000000">
        <w:rPr>
          <w:rtl w:val="0"/>
        </w:rPr>
      </w:r>
    </w:p>
    <w:p w:rsidR="00000000" w:rsidDel="00000000" w:rsidP="00000000" w:rsidRDefault="00000000" w:rsidRPr="00000000" w14:paraId="00000076">
      <w:pPr>
        <w:spacing w:after="200" w:line="240" w:lineRule="auto"/>
        <w:ind w:firstLine="720"/>
        <w:jc w:val="both"/>
        <w:rPr>
          <w:color w:val="000000"/>
          <w:sz w:val="24"/>
          <w:szCs w:val="24"/>
        </w:rPr>
      </w:pPr>
      <w:r w:rsidDel="00000000" w:rsidR="00000000" w:rsidRPr="00000000">
        <w:rPr>
          <w:color w:val="000000"/>
          <w:sz w:val="24"/>
          <w:szCs w:val="24"/>
          <w:rtl w:val="0"/>
        </w:rPr>
        <w:t xml:space="preserve">En Argentina es posible encontrar infecciones mixtas producidas por WSMV y HPWMoV debido a que </w:t>
      </w:r>
      <w:r w:rsidDel="00000000" w:rsidR="00000000" w:rsidRPr="00000000">
        <w:rPr>
          <w:i w:val="1"/>
          <w:color w:val="000000"/>
          <w:sz w:val="24"/>
          <w:szCs w:val="24"/>
          <w:rtl w:val="0"/>
        </w:rPr>
        <w:t xml:space="preserve">A. tosichella </w:t>
      </w:r>
      <w:r w:rsidDel="00000000" w:rsidR="00000000" w:rsidRPr="00000000">
        <w:rPr>
          <w:color w:val="000000"/>
          <w:sz w:val="24"/>
          <w:szCs w:val="24"/>
          <w:rtl w:val="0"/>
        </w:rPr>
        <w:t xml:space="preserve">puede transmitir simultáneamente ambos virus (Dumón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2013). Aunque en condiciones de campo es muy difícil distinguir los síntomas causados por cada una de estas virosis (Mahmood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1998), en infecciones mixtas los síntomas son más acentuados (Skare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2006; </w:t>
      </w:r>
      <w:r w:rsidDel="00000000" w:rsidR="00000000" w:rsidRPr="00000000">
        <w:rPr>
          <w:sz w:val="24"/>
          <w:szCs w:val="24"/>
          <w:rtl w:val="0"/>
        </w:rPr>
        <w:t xml:space="preserve">Argüello </w:t>
      </w:r>
      <w:r w:rsidDel="00000000" w:rsidR="00000000" w:rsidRPr="00000000">
        <w:rPr>
          <w:color w:val="000000"/>
          <w:sz w:val="24"/>
          <w:szCs w:val="24"/>
          <w:rtl w:val="0"/>
        </w:rPr>
        <w:t xml:space="preserve">y Truol, 2009).</w:t>
      </w:r>
    </w:p>
    <w:p w:rsidR="00000000" w:rsidDel="00000000" w:rsidP="00000000" w:rsidRDefault="00000000" w:rsidRPr="00000000" w14:paraId="00000077">
      <w:pPr>
        <w:spacing w:after="10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78">
      <w:pPr>
        <w:spacing w:after="100" w:line="240" w:lineRule="auto"/>
        <w:rPr>
          <w:sz w:val="24"/>
          <w:szCs w:val="24"/>
        </w:rPr>
      </w:pPr>
      <w:r w:rsidDel="00000000" w:rsidR="00000000" w:rsidRPr="00000000">
        <w:rPr>
          <w:rtl w:val="0"/>
        </w:rPr>
      </w:r>
    </w:p>
    <w:p w:rsidR="00000000" w:rsidDel="00000000" w:rsidP="00000000" w:rsidRDefault="00000000" w:rsidRPr="00000000" w14:paraId="00000079">
      <w:pPr>
        <w:pStyle w:val="Heading1"/>
        <w:keepNext w:val="1"/>
        <w:keepLines w:val="1"/>
        <w:spacing w:after="200" w:before="480" w:line="240" w:lineRule="auto"/>
        <w:rPr>
          <w:sz w:val="28"/>
          <w:szCs w:val="28"/>
          <w:vertAlign w:val="baseline"/>
        </w:rPr>
      </w:pPr>
      <w:bookmarkStart w:colFirst="0" w:colLast="0" w:name="_heading=h.3ly7gklyas5l" w:id="12"/>
      <w:bookmarkEnd w:id="12"/>
      <w:r w:rsidDel="00000000" w:rsidR="00000000" w:rsidRPr="00000000">
        <w:rPr>
          <w:sz w:val="28"/>
          <w:szCs w:val="28"/>
          <w:vertAlign w:val="baseline"/>
          <w:rtl w:val="0"/>
        </w:rPr>
        <w:t xml:space="preserve">2.</w:t>
      </w:r>
      <w:r w:rsidDel="00000000" w:rsidR="00000000" w:rsidRPr="00000000">
        <w:rPr>
          <w:sz w:val="28"/>
          <w:szCs w:val="28"/>
          <w:rtl w:val="0"/>
        </w:rPr>
        <w:t xml:space="preserve"> </w:t>
      </w:r>
      <w:r w:rsidDel="00000000" w:rsidR="00000000" w:rsidRPr="00000000">
        <w:rPr>
          <w:sz w:val="28"/>
          <w:szCs w:val="28"/>
          <w:vertAlign w:val="baseline"/>
          <w:rtl w:val="0"/>
        </w:rPr>
        <w:t xml:space="preserve">Bibliografía</w:t>
      </w:r>
    </w:p>
    <w:p w:rsidR="00000000" w:rsidDel="00000000" w:rsidP="00000000" w:rsidRDefault="00000000" w:rsidRPr="00000000" w14:paraId="0000007A">
      <w:pPr>
        <w:spacing w:after="200" w:line="240" w:lineRule="auto"/>
        <w:ind w:left="720.0000000000001" w:hanging="720.0000000000001"/>
        <w:jc w:val="both"/>
        <w:rPr>
          <w:sz w:val="20"/>
          <w:szCs w:val="20"/>
        </w:rPr>
      </w:pPr>
      <w:r w:rsidDel="00000000" w:rsidR="00000000" w:rsidRPr="00000000">
        <w:rPr>
          <w:b w:val="1"/>
          <w:sz w:val="20"/>
          <w:szCs w:val="20"/>
          <w:rtl w:val="0"/>
        </w:rPr>
        <w:t xml:space="preserve">Alemandri, V., Gutheim, F., Rodríguez, S. M., Mattio, M. F., Dumón, A., Argüello, E. y Truol, G. 2011.</w:t>
      </w:r>
      <w:r w:rsidDel="00000000" w:rsidR="00000000" w:rsidRPr="00000000">
        <w:rPr>
          <w:sz w:val="20"/>
          <w:szCs w:val="20"/>
          <w:rtl w:val="0"/>
        </w:rPr>
        <w:t xml:space="preserve"> Importancia de la cebada como hospedante alternativo de High plains virus (HPV) en Miramar (Buenos Aires). Memoria Técnica de la Chacra Experimental Miramar, Cultivos de Invierno 2010/11</w:t>
      </w:r>
    </w:p>
    <w:p w:rsidR="00000000" w:rsidDel="00000000" w:rsidP="00000000" w:rsidRDefault="00000000" w:rsidRPr="00000000" w14:paraId="0000007B">
      <w:pPr>
        <w:spacing w:after="200" w:line="240" w:lineRule="auto"/>
        <w:ind w:left="720.0000000000001" w:hanging="720.0000000000001"/>
        <w:jc w:val="both"/>
        <w:rPr>
          <w:sz w:val="20"/>
          <w:szCs w:val="20"/>
        </w:rPr>
      </w:pPr>
      <w:r w:rsidDel="00000000" w:rsidR="00000000" w:rsidRPr="00000000">
        <w:rPr>
          <w:b w:val="1"/>
          <w:sz w:val="20"/>
          <w:szCs w:val="20"/>
          <w:rtl w:val="0"/>
        </w:rPr>
        <w:t xml:space="preserve">Argüello, E. y Truol, G. 2009. </w:t>
      </w:r>
      <w:r w:rsidDel="00000000" w:rsidR="00000000" w:rsidRPr="00000000">
        <w:rPr>
          <w:sz w:val="20"/>
          <w:szCs w:val="20"/>
          <w:rtl w:val="0"/>
        </w:rPr>
        <w:t xml:space="preserve">Capítulo 5: High Plains virus (HPV). En: Enfermedades virales asociadas al cultivo de trigo en Argentina. Instituto Nacional de Tecnología Agropecuaria (INTA). p. 41-46.</w:t>
      </w:r>
    </w:p>
    <w:p w:rsidR="00000000" w:rsidDel="00000000" w:rsidP="00000000" w:rsidRDefault="00000000" w:rsidRPr="00000000" w14:paraId="0000007C">
      <w:pPr>
        <w:spacing w:after="200" w:line="240" w:lineRule="auto"/>
        <w:ind w:left="720.0000000000001" w:hanging="720.0000000000001"/>
        <w:jc w:val="both"/>
        <w:rPr>
          <w:sz w:val="20"/>
          <w:szCs w:val="20"/>
        </w:rPr>
      </w:pPr>
      <w:r w:rsidDel="00000000" w:rsidR="00000000" w:rsidRPr="00000000">
        <w:rPr>
          <w:b w:val="1"/>
          <w:sz w:val="20"/>
          <w:szCs w:val="20"/>
          <w:rtl w:val="0"/>
        </w:rPr>
        <w:t xml:space="preserve">CABI. 2023.</w:t>
      </w:r>
      <w:r w:rsidDel="00000000" w:rsidR="00000000" w:rsidRPr="00000000">
        <w:rPr>
          <w:sz w:val="20"/>
          <w:szCs w:val="20"/>
          <w:rtl w:val="0"/>
        </w:rPr>
        <w:t xml:space="preserve"> Crop Protection Compendium en línea.</w:t>
      </w:r>
      <w:hyperlink r:id="rId9">
        <w:r w:rsidDel="00000000" w:rsidR="00000000" w:rsidRPr="00000000">
          <w:rPr>
            <w:sz w:val="20"/>
            <w:szCs w:val="20"/>
            <w:rtl w:val="0"/>
          </w:rPr>
          <w:t xml:space="preserve"> </w:t>
        </w:r>
      </w:hyperlink>
      <w:hyperlink r:id="rId10">
        <w:r w:rsidDel="00000000" w:rsidR="00000000" w:rsidRPr="00000000">
          <w:rPr>
            <w:color w:val="1155cc"/>
            <w:sz w:val="20"/>
            <w:szCs w:val="20"/>
            <w:u w:val="single"/>
            <w:rtl w:val="0"/>
          </w:rPr>
          <w:t xml:space="preserve">https://www.cabidigitallibrary.org/</w:t>
        </w:r>
      </w:hyperlink>
      <w:r w:rsidDel="00000000" w:rsidR="00000000" w:rsidRPr="00000000">
        <w:rPr>
          <w:rtl w:val="0"/>
        </w:rPr>
      </w:r>
    </w:p>
    <w:p w:rsidR="00000000" w:rsidDel="00000000" w:rsidP="00000000" w:rsidRDefault="00000000" w:rsidRPr="00000000" w14:paraId="0000007D">
      <w:pPr>
        <w:spacing w:after="200" w:line="240" w:lineRule="auto"/>
        <w:ind w:left="720.0000000000001" w:hanging="720.0000000000001"/>
        <w:jc w:val="both"/>
        <w:rPr>
          <w:sz w:val="20"/>
          <w:szCs w:val="20"/>
        </w:rPr>
      </w:pPr>
      <w:r w:rsidDel="00000000" w:rsidR="00000000" w:rsidRPr="00000000">
        <w:rPr>
          <w:b w:val="1"/>
          <w:sz w:val="20"/>
          <w:szCs w:val="20"/>
          <w:rtl w:val="0"/>
        </w:rPr>
        <w:t xml:space="preserve">Dumón, A. D.; Argüello Caro, E.B.; Alemandri, V. Mattio, M F.; Donaire, G.; Alberione, E.; Bainotti, C.T.; Rodriguez, S.M. y Truol, G. 2013. </w:t>
      </w:r>
      <w:r w:rsidDel="00000000" w:rsidR="00000000" w:rsidRPr="00000000">
        <w:rPr>
          <w:sz w:val="20"/>
          <w:szCs w:val="20"/>
          <w:rtl w:val="0"/>
        </w:rPr>
        <w:t xml:space="preserve">Comportamiento de diferentes cultivares de trigo a </w:t>
      </w:r>
      <w:r w:rsidDel="00000000" w:rsidR="00000000" w:rsidRPr="00000000">
        <w:rPr>
          <w:i w:val="1"/>
          <w:sz w:val="20"/>
          <w:szCs w:val="20"/>
          <w:rtl w:val="0"/>
        </w:rPr>
        <w:t xml:space="preserve">Wheat streak mosaic virus</w:t>
      </w:r>
      <w:r w:rsidDel="00000000" w:rsidR="00000000" w:rsidRPr="00000000">
        <w:rPr>
          <w:sz w:val="20"/>
          <w:szCs w:val="20"/>
          <w:rtl w:val="0"/>
        </w:rPr>
        <w:t xml:space="preserve"> (WSMV) y </w:t>
      </w:r>
      <w:r w:rsidDel="00000000" w:rsidR="00000000" w:rsidRPr="00000000">
        <w:rPr>
          <w:i w:val="1"/>
          <w:sz w:val="20"/>
          <w:szCs w:val="20"/>
          <w:rtl w:val="0"/>
        </w:rPr>
        <w:t xml:space="preserve">High Plains Virus</w:t>
      </w:r>
      <w:r w:rsidDel="00000000" w:rsidR="00000000" w:rsidRPr="00000000">
        <w:rPr>
          <w:sz w:val="20"/>
          <w:szCs w:val="20"/>
          <w:rtl w:val="0"/>
        </w:rPr>
        <w:t xml:space="preserve"> (HPV) mediante infección artificial con el vector </w:t>
      </w:r>
      <w:r w:rsidDel="00000000" w:rsidR="00000000" w:rsidRPr="00000000">
        <w:rPr>
          <w:i w:val="1"/>
          <w:sz w:val="20"/>
          <w:szCs w:val="20"/>
          <w:rtl w:val="0"/>
        </w:rPr>
        <w:t xml:space="preserve">Aceria tosichella</w:t>
      </w:r>
      <w:r w:rsidDel="00000000" w:rsidR="00000000" w:rsidRPr="00000000">
        <w:rPr>
          <w:sz w:val="20"/>
          <w:szCs w:val="20"/>
          <w:rtl w:val="0"/>
        </w:rPr>
        <w:t xml:space="preserve"> Keifer, bajo condiciones de campo. Disponible en: </w:t>
      </w:r>
      <w:hyperlink r:id="rId11">
        <w:r w:rsidDel="00000000" w:rsidR="00000000" w:rsidRPr="00000000">
          <w:rPr>
            <w:color w:val="1155cc"/>
            <w:sz w:val="20"/>
            <w:szCs w:val="20"/>
            <w:u w:val="single"/>
            <w:rtl w:val="0"/>
          </w:rPr>
          <w:t xml:space="preserve">http://www.scielo.org.ar/scielo.php?script=sci_arttext&amp;pid=S1669-23142013000100011</w:t>
        </w:r>
      </w:hyperlink>
      <w:r w:rsidDel="00000000" w:rsidR="00000000" w:rsidRPr="00000000">
        <w:rPr>
          <w:rtl w:val="0"/>
        </w:rPr>
      </w:r>
    </w:p>
    <w:p w:rsidR="00000000" w:rsidDel="00000000" w:rsidP="00000000" w:rsidRDefault="00000000" w:rsidRPr="00000000" w14:paraId="0000007E">
      <w:pPr>
        <w:spacing w:after="200" w:line="240" w:lineRule="auto"/>
        <w:ind w:left="720.0000000000001" w:hanging="720.0000000000001"/>
        <w:jc w:val="both"/>
        <w:rPr>
          <w:sz w:val="20"/>
          <w:szCs w:val="20"/>
        </w:rPr>
      </w:pPr>
      <w:r w:rsidDel="00000000" w:rsidR="00000000" w:rsidRPr="00000000">
        <w:rPr>
          <w:b w:val="1"/>
          <w:sz w:val="20"/>
          <w:szCs w:val="20"/>
          <w:rtl w:val="0"/>
        </w:rPr>
        <w:t xml:space="preserve">EFSA. 2022</w:t>
      </w:r>
      <w:r w:rsidDel="00000000" w:rsidR="00000000" w:rsidRPr="00000000">
        <w:rPr>
          <w:sz w:val="20"/>
          <w:szCs w:val="20"/>
          <w:rtl w:val="0"/>
        </w:rPr>
        <w:t xml:space="preserve">. Pest categorisation of High Plains wheat mosaic virus. Volume20, Issue5 May 2022.</w:t>
      </w:r>
    </w:p>
    <w:p w:rsidR="00000000" w:rsidDel="00000000" w:rsidP="00000000" w:rsidRDefault="00000000" w:rsidRPr="00000000" w14:paraId="0000007F">
      <w:pPr>
        <w:spacing w:after="200" w:line="240" w:lineRule="auto"/>
        <w:ind w:left="720.0000000000001" w:hanging="720.0000000000001"/>
        <w:jc w:val="both"/>
        <w:rPr>
          <w:sz w:val="20"/>
          <w:szCs w:val="20"/>
        </w:rPr>
      </w:pPr>
      <w:r w:rsidDel="00000000" w:rsidR="00000000" w:rsidRPr="00000000">
        <w:rPr>
          <w:b w:val="1"/>
          <w:sz w:val="20"/>
          <w:szCs w:val="20"/>
          <w:rtl w:val="0"/>
        </w:rPr>
        <w:t xml:space="preserve">Lebas, B. S. M., Ochoa-Corona, F. M., Elliott, D. R., Tang, Z. y Alexander, B. J. R. 2005.</w:t>
      </w:r>
      <w:r w:rsidDel="00000000" w:rsidR="00000000" w:rsidRPr="00000000">
        <w:rPr>
          <w:sz w:val="20"/>
          <w:szCs w:val="20"/>
          <w:rtl w:val="0"/>
        </w:rPr>
        <w:t xml:space="preserve">  Development of an RT-PCR for High Plains virus Indexing Scheme  in New Zealand Post-Entry Quarantine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0000000000001" w:right="0" w:hanging="720.0000000000001"/>
        <w:jc w:val="both"/>
        <w:rPr>
          <w:color w:val="1155cc"/>
          <w:sz w:val="20"/>
          <w:szCs w:val="20"/>
          <w:u w:val="single"/>
        </w:rPr>
      </w:pPr>
      <w:r w:rsidDel="00000000" w:rsidR="00000000" w:rsidRPr="00000000">
        <w:rPr>
          <w:b w:val="1"/>
          <w:sz w:val="20"/>
          <w:szCs w:val="20"/>
          <w:rtl w:val="0"/>
        </w:rPr>
        <w:t xml:space="preserve">Mahmood, T.; Hein G. L. y Jensen, S.G. 1998. </w:t>
      </w:r>
      <w:r w:rsidDel="00000000" w:rsidR="00000000" w:rsidRPr="00000000">
        <w:rPr>
          <w:sz w:val="20"/>
          <w:szCs w:val="20"/>
          <w:rtl w:val="0"/>
        </w:rPr>
        <w:t xml:space="preserve">Mixed Infection of Hard Red Winter Wheat with </w:t>
      </w:r>
      <w:r w:rsidDel="00000000" w:rsidR="00000000" w:rsidRPr="00000000">
        <w:rPr>
          <w:i w:val="1"/>
          <w:sz w:val="20"/>
          <w:szCs w:val="20"/>
          <w:rtl w:val="0"/>
        </w:rPr>
        <w:t xml:space="preserve">High Plains Virus</w:t>
      </w:r>
      <w:r w:rsidDel="00000000" w:rsidR="00000000" w:rsidRPr="00000000">
        <w:rPr>
          <w:sz w:val="20"/>
          <w:szCs w:val="20"/>
          <w:rtl w:val="0"/>
        </w:rPr>
        <w:t xml:space="preserve"> and </w:t>
      </w:r>
      <w:r w:rsidDel="00000000" w:rsidR="00000000" w:rsidRPr="00000000">
        <w:rPr>
          <w:i w:val="1"/>
          <w:sz w:val="20"/>
          <w:szCs w:val="20"/>
          <w:rtl w:val="0"/>
        </w:rPr>
        <w:t xml:space="preserve">Wheat Streak Mosaic Viru</w:t>
      </w:r>
      <w:r w:rsidDel="00000000" w:rsidR="00000000" w:rsidRPr="00000000">
        <w:rPr>
          <w:sz w:val="20"/>
          <w:szCs w:val="20"/>
          <w:rtl w:val="0"/>
        </w:rPr>
        <w:t xml:space="preserve">s from Wheat Curl Mites in Nebraska. Disponible en:</w:t>
      </w:r>
      <w:hyperlink r:id="rId12">
        <w:r w:rsidDel="00000000" w:rsidR="00000000" w:rsidRPr="00000000">
          <w:rPr>
            <w:sz w:val="20"/>
            <w:szCs w:val="20"/>
            <w:rtl w:val="0"/>
          </w:rPr>
          <w:t xml:space="preserve"> </w:t>
        </w:r>
      </w:hyperlink>
      <w:hyperlink r:id="rId13">
        <w:r w:rsidDel="00000000" w:rsidR="00000000" w:rsidRPr="00000000">
          <w:rPr>
            <w:color w:val="1155cc"/>
            <w:sz w:val="20"/>
            <w:szCs w:val="20"/>
            <w:u w:val="single"/>
            <w:rtl w:val="0"/>
          </w:rPr>
          <w:t xml:space="preserve">https://pubmed.ncbi.nlm.nih.gov/30856864/</w:t>
        </w:r>
      </w:hyperlink>
      <w:r w:rsidDel="00000000" w:rsidR="00000000" w:rsidRPr="00000000">
        <w:rPr>
          <w:rtl w:val="0"/>
        </w:rPr>
      </w:r>
    </w:p>
    <w:p w:rsidR="00000000" w:rsidDel="00000000" w:rsidP="00000000" w:rsidRDefault="00000000" w:rsidRPr="00000000" w14:paraId="00000081">
      <w:pPr>
        <w:spacing w:after="200" w:line="240" w:lineRule="auto"/>
        <w:ind w:left="720.0000000000001" w:hanging="720.0000000000001"/>
        <w:jc w:val="both"/>
        <w:rPr>
          <w:sz w:val="20"/>
          <w:szCs w:val="20"/>
        </w:rPr>
      </w:pPr>
      <w:r w:rsidDel="00000000" w:rsidR="00000000" w:rsidRPr="00000000">
        <w:rPr>
          <w:b w:val="1"/>
          <w:sz w:val="20"/>
          <w:szCs w:val="20"/>
          <w:rtl w:val="0"/>
        </w:rPr>
        <w:t xml:space="preserve">Nischwitz C., 2020.</w:t>
      </w:r>
      <w:r w:rsidDel="00000000" w:rsidR="00000000" w:rsidRPr="00000000">
        <w:rPr>
          <w:sz w:val="20"/>
          <w:szCs w:val="20"/>
          <w:rtl w:val="0"/>
        </w:rPr>
        <w:t xml:space="preserve"> Seed-transmitted wheat mosaic virus in sweet corn in Utah. Plant Health Progress, 21, 212–213.</w:t>
      </w:r>
    </w:p>
    <w:p w:rsidR="00000000" w:rsidDel="00000000" w:rsidP="00000000" w:rsidRDefault="00000000" w:rsidRPr="00000000" w14:paraId="00000082">
      <w:pPr>
        <w:spacing w:after="200" w:line="240" w:lineRule="auto"/>
        <w:ind w:left="720.0000000000001" w:hanging="720.0000000000001"/>
        <w:jc w:val="both"/>
        <w:rPr>
          <w:sz w:val="20"/>
          <w:szCs w:val="20"/>
        </w:rPr>
      </w:pPr>
      <w:r w:rsidDel="00000000" w:rsidR="00000000" w:rsidRPr="00000000">
        <w:rPr>
          <w:b w:val="1"/>
          <w:sz w:val="20"/>
          <w:szCs w:val="20"/>
          <w:rtl w:val="0"/>
        </w:rPr>
        <w:t xml:space="preserve">Seifers, D.L.; Harvey, T. L; Martin, T. J. y Jensen, S. G. 1997.</w:t>
      </w:r>
      <w:r w:rsidDel="00000000" w:rsidR="00000000" w:rsidRPr="00000000">
        <w:rPr>
          <w:sz w:val="20"/>
          <w:szCs w:val="20"/>
          <w:rtl w:val="0"/>
        </w:rPr>
        <w:t xml:space="preserve"> Identification of the Wheat Curl Mite as the Vector of the High Plains Virus of Corn and Wheat. University of Nebraska – Lincoln. Disponible en:</w:t>
      </w:r>
      <w:hyperlink r:id="rId14">
        <w:r w:rsidDel="00000000" w:rsidR="00000000" w:rsidRPr="00000000">
          <w:rPr>
            <w:sz w:val="20"/>
            <w:szCs w:val="20"/>
            <w:rtl w:val="0"/>
          </w:rPr>
          <w:t xml:space="preserve"> </w:t>
        </w:r>
      </w:hyperlink>
      <w:hyperlink r:id="rId15">
        <w:r w:rsidDel="00000000" w:rsidR="00000000" w:rsidRPr="00000000">
          <w:rPr>
            <w:color w:val="1155cc"/>
            <w:sz w:val="20"/>
            <w:szCs w:val="20"/>
            <w:u w:val="single"/>
            <w:rtl w:val="0"/>
          </w:rPr>
          <w:t xml:space="preserve">https://www.google.com/url?sa=t&amp;rct=j&amp;q=&amp;esrc=s&amp;source=web&amp;cd=&amp;cad=rja&amp;uact=8&amp;ved=2ahUKEwjKxur96ur9AhWfpZUCHc_WBMwQFnoECAoQAQ&amp;url=https%3A%2F%2Fdigitalcommons.unl.edu%2Fcgi%2Fviewcontent.cgi%3Freferer%3D%26httpsredir%3D1%26article%3D1327%26context%3Dplantpathpapers&amp;usg=AOvVaw0GUTjFLGICV3ev7LkwXKDz</w:t>
        </w:r>
      </w:hyperlink>
      <w:r w:rsidDel="00000000" w:rsidR="00000000" w:rsidRPr="00000000">
        <w:rPr>
          <w:sz w:val="20"/>
          <w:szCs w:val="20"/>
          <w:rtl w:val="0"/>
        </w:rPr>
        <w:t xml:space="preserve">.7 p.</w:t>
      </w:r>
    </w:p>
    <w:p w:rsidR="00000000" w:rsidDel="00000000" w:rsidP="00000000" w:rsidRDefault="00000000" w:rsidRPr="00000000" w14:paraId="00000083">
      <w:pPr>
        <w:spacing w:after="200" w:line="240" w:lineRule="auto"/>
        <w:ind w:left="720.0000000000001" w:hanging="720.0000000000001"/>
        <w:jc w:val="both"/>
        <w:rPr>
          <w:sz w:val="20"/>
          <w:szCs w:val="20"/>
        </w:rPr>
      </w:pPr>
      <w:r w:rsidDel="00000000" w:rsidR="00000000" w:rsidRPr="00000000">
        <w:rPr>
          <w:b w:val="1"/>
          <w:sz w:val="20"/>
          <w:szCs w:val="20"/>
          <w:rtl w:val="0"/>
        </w:rPr>
        <w:t xml:space="preserve">Skare, M.; Wiikamp, I., Denham, I.; Rezende, J.; Kitaiima, E.; Park, J. W.; Desvoyes, B.; Rush, C.M. Michels, G.; Scholthof, K.B.G. y Scholthof, H. 2006.</w:t>
      </w:r>
      <w:r w:rsidDel="00000000" w:rsidR="00000000" w:rsidRPr="00000000">
        <w:rPr>
          <w:sz w:val="20"/>
          <w:szCs w:val="20"/>
          <w:rtl w:val="0"/>
        </w:rPr>
        <w:t xml:space="preserve"> A new eriophyid mite-borne membrane-enveloped virus-like complex isolated from plants. Disponible en:</w:t>
      </w:r>
      <w:hyperlink r:id="rId16">
        <w:r w:rsidDel="00000000" w:rsidR="00000000" w:rsidRPr="00000000">
          <w:rPr>
            <w:sz w:val="20"/>
            <w:szCs w:val="20"/>
            <w:rtl w:val="0"/>
          </w:rPr>
          <w:t xml:space="preserve"> </w:t>
        </w:r>
      </w:hyperlink>
      <w:hyperlink r:id="rId17">
        <w:r w:rsidDel="00000000" w:rsidR="00000000" w:rsidRPr="00000000">
          <w:rPr>
            <w:color w:val="1155cc"/>
            <w:sz w:val="20"/>
            <w:szCs w:val="20"/>
            <w:u w:val="single"/>
            <w:rtl w:val="0"/>
          </w:rPr>
          <w:t xml:space="preserve">https://www.sciencedirect.com/science/article/pii/S0042682205007798</w:t>
        </w:r>
      </w:hyperlink>
      <w:r w:rsidDel="00000000" w:rsidR="00000000" w:rsidRPr="00000000">
        <w:rPr>
          <w:sz w:val="20"/>
          <w:szCs w:val="20"/>
          <w:rtl w:val="0"/>
        </w:rPr>
        <w:t xml:space="preserve">. Virology, 347, 343–353.</w:t>
      </w:r>
    </w:p>
    <w:p w:rsidR="00000000" w:rsidDel="00000000" w:rsidP="00000000" w:rsidRDefault="00000000" w:rsidRPr="00000000" w14:paraId="00000084">
      <w:pPr>
        <w:spacing w:after="200" w:line="240" w:lineRule="auto"/>
        <w:ind w:left="720.0000000000001" w:hanging="720.0000000000001"/>
        <w:jc w:val="both"/>
        <w:rPr>
          <w:sz w:val="20"/>
          <w:szCs w:val="20"/>
        </w:rPr>
      </w:pPr>
      <w:r w:rsidDel="00000000" w:rsidR="00000000" w:rsidRPr="00000000">
        <w:rPr>
          <w:b w:val="1"/>
          <w:sz w:val="20"/>
          <w:szCs w:val="20"/>
          <w:rtl w:val="0"/>
        </w:rPr>
        <w:t xml:space="preserve">Tatineni, S., McMechan, A.J., Wosula, E.N., Wegulo, S.N., Graybosch, R.A., French, R y Hein, G. L. 2014.</w:t>
      </w:r>
      <w:r w:rsidDel="00000000" w:rsidR="00000000" w:rsidRPr="00000000">
        <w:rPr>
          <w:sz w:val="20"/>
          <w:szCs w:val="20"/>
          <w:rtl w:val="0"/>
        </w:rPr>
        <w:t xml:space="preserve"> An eriophyid mite-transmitted plant virus contains eight genomic RNA segments with unusual heterogeneity in the nucleocapsid protein. Journal of Virology, 88, 11834–11845.</w:t>
      </w:r>
    </w:p>
    <w:p w:rsidR="00000000" w:rsidDel="00000000" w:rsidP="00000000" w:rsidRDefault="00000000" w:rsidRPr="00000000" w14:paraId="00000085">
      <w:pPr>
        <w:spacing w:after="200" w:line="240" w:lineRule="auto"/>
        <w:ind w:left="720.0000000000001" w:hanging="720.0000000000001"/>
        <w:jc w:val="both"/>
        <w:rPr>
          <w:sz w:val="20"/>
          <w:szCs w:val="20"/>
        </w:rPr>
      </w:pPr>
      <w:r w:rsidDel="00000000" w:rsidR="00000000" w:rsidRPr="00000000">
        <w:rPr>
          <w:b w:val="1"/>
          <w:color w:val="222222"/>
          <w:sz w:val="20"/>
          <w:szCs w:val="20"/>
          <w:highlight w:val="white"/>
          <w:rtl w:val="0"/>
        </w:rPr>
        <w:t xml:space="preserve">Tatineni, S., y Hein, G. L. 2021.</w:t>
      </w:r>
      <w:r w:rsidDel="00000000" w:rsidR="00000000" w:rsidRPr="00000000">
        <w:rPr>
          <w:color w:val="222222"/>
          <w:sz w:val="20"/>
          <w:szCs w:val="20"/>
          <w:highlight w:val="white"/>
          <w:rtl w:val="0"/>
        </w:rPr>
        <w:t xml:space="preserve"> High Plains wheat mosaic virus: An enigmatic disease of wheat and corn causing the High Plains disease. </w:t>
      </w:r>
      <w:r w:rsidDel="00000000" w:rsidR="00000000" w:rsidRPr="00000000">
        <w:rPr>
          <w:i w:val="1"/>
          <w:color w:val="222222"/>
          <w:sz w:val="20"/>
          <w:szCs w:val="20"/>
          <w:highlight w:val="white"/>
          <w:rtl w:val="0"/>
        </w:rPr>
        <w:t xml:space="preserve">Molecular Plant Pathology</w:t>
      </w:r>
      <w:r w:rsidDel="00000000" w:rsidR="00000000" w:rsidRPr="00000000">
        <w:rPr>
          <w:color w:val="222222"/>
          <w:sz w:val="20"/>
          <w:szCs w:val="20"/>
          <w:highlight w:val="white"/>
          <w:rtl w:val="0"/>
        </w:rPr>
        <w:t xml:space="preserve">, </w:t>
      </w:r>
      <w:r w:rsidDel="00000000" w:rsidR="00000000" w:rsidRPr="00000000">
        <w:rPr>
          <w:i w:val="1"/>
          <w:color w:val="222222"/>
          <w:sz w:val="20"/>
          <w:szCs w:val="20"/>
          <w:highlight w:val="white"/>
          <w:rtl w:val="0"/>
        </w:rPr>
        <w:t xml:space="preserve">22</w:t>
      </w:r>
      <w:r w:rsidDel="00000000" w:rsidR="00000000" w:rsidRPr="00000000">
        <w:rPr>
          <w:color w:val="222222"/>
          <w:sz w:val="20"/>
          <w:szCs w:val="20"/>
          <w:highlight w:val="white"/>
          <w:rtl w:val="0"/>
        </w:rPr>
        <w:t xml:space="preserve">(10), 1167-1179.</w:t>
      </w:r>
      <w:r w:rsidDel="00000000" w:rsidR="00000000" w:rsidRPr="00000000">
        <w:rPr>
          <w:rtl w:val="0"/>
        </w:rPr>
      </w:r>
    </w:p>
    <w:p w:rsidR="00000000" w:rsidDel="00000000" w:rsidP="00000000" w:rsidRDefault="00000000" w:rsidRPr="00000000" w14:paraId="00000086">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480" w:line="240" w:lineRule="auto"/>
        <w:ind w:left="0" w:right="0" w:firstLine="0"/>
        <w:jc w:val="left"/>
        <w:rPr>
          <w:b w:val="1"/>
          <w:sz w:val="28"/>
          <w:szCs w:val="28"/>
        </w:rPr>
      </w:pPr>
      <w:bookmarkStart w:colFirst="0" w:colLast="0" w:name="_heading=h.dnfovdvzs3a0" w:id="13"/>
      <w:bookmarkEnd w:id="13"/>
      <w:r w:rsidDel="00000000" w:rsidR="00000000" w:rsidRPr="00000000">
        <w:rPr>
          <w:b w:val="1"/>
          <w:sz w:val="28"/>
          <w:szCs w:val="28"/>
          <w:rtl w:val="0"/>
        </w:rPr>
        <w:t xml:space="preserve">3. Anexo: Figuras</w:t>
      </w:r>
    </w:p>
    <w:p w:rsidR="00000000" w:rsidDel="00000000" w:rsidP="00000000" w:rsidRDefault="00000000" w:rsidRPr="00000000" w14:paraId="00000087">
      <w:pPr>
        <w:rPr>
          <w:b w:val="1"/>
          <w:sz w:val="24"/>
          <w:szCs w:val="24"/>
        </w:rPr>
      </w:pPr>
      <w:r w:rsidDel="00000000" w:rsidR="00000000" w:rsidRPr="00000000">
        <w:rPr>
          <w:rtl w:val="0"/>
        </w:rPr>
      </w:r>
    </w:p>
    <w:p w:rsidR="00000000" w:rsidDel="00000000" w:rsidP="00000000" w:rsidRDefault="00000000" w:rsidRPr="00000000" w14:paraId="00000088">
      <w:pPr>
        <w:jc w:val="center"/>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Pr>
        <w:drawing>
          <wp:inline distB="114300" distT="114300" distL="114300" distR="114300">
            <wp:extent cx="4544380" cy="4665103"/>
            <wp:effectExtent b="0" l="0" r="0" t="0"/>
            <wp:docPr id="17"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4544380" cy="4665103"/>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line="240" w:lineRule="auto"/>
        <w:jc w:val="both"/>
        <w:rPr>
          <w:sz w:val="20"/>
          <w:szCs w:val="20"/>
        </w:rPr>
      </w:pPr>
      <w:r w:rsidDel="00000000" w:rsidR="00000000" w:rsidRPr="00000000">
        <w:rPr>
          <w:b w:val="1"/>
          <w:sz w:val="20"/>
          <w:szCs w:val="20"/>
          <w:rtl w:val="0"/>
        </w:rPr>
        <w:t xml:space="preserve">Figura 1: </w:t>
      </w:r>
      <w:r w:rsidDel="00000000" w:rsidR="00000000" w:rsidRPr="00000000">
        <w:rPr>
          <w:sz w:val="20"/>
          <w:szCs w:val="20"/>
          <w:rtl w:val="0"/>
        </w:rPr>
        <w:t xml:space="preserve">Plantas de maíz con enanismo, clorosis, marchitez y necrosis en follaje provocadas por </w:t>
      </w:r>
      <w:r w:rsidDel="00000000" w:rsidR="00000000" w:rsidRPr="00000000">
        <w:rPr>
          <w:i w:val="1"/>
          <w:sz w:val="20"/>
          <w:szCs w:val="20"/>
          <w:rtl w:val="0"/>
        </w:rPr>
        <w:t xml:space="preserve">High plains wheat mosaic virus </w:t>
      </w:r>
      <w:r w:rsidDel="00000000" w:rsidR="00000000" w:rsidRPr="00000000">
        <w:rPr>
          <w:sz w:val="20"/>
          <w:szCs w:val="20"/>
          <w:rtl w:val="0"/>
        </w:rPr>
        <w:t xml:space="preserve">(HPWMoV) (ANPROS - SAG, 2022).</w:t>
      </w:r>
    </w:p>
    <w:p w:rsidR="00000000" w:rsidDel="00000000" w:rsidP="00000000" w:rsidRDefault="00000000" w:rsidRPr="00000000" w14:paraId="0000008A">
      <w:pPr>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8B">
      <w:pPr>
        <w:rPr>
          <w:sz w:val="20"/>
          <w:szCs w:val="20"/>
        </w:rPr>
      </w:pPr>
      <w:r w:rsidDel="00000000" w:rsidR="00000000" w:rsidRPr="00000000">
        <w:rPr>
          <w:rtl w:val="0"/>
        </w:rPr>
      </w:r>
    </w:p>
    <w:p w:rsidR="00000000" w:rsidDel="00000000" w:rsidP="00000000" w:rsidRDefault="00000000" w:rsidRPr="00000000" w14:paraId="0000008C">
      <w:pPr>
        <w:jc w:val="center"/>
        <w:rPr>
          <w:color w:val="0000ff"/>
          <w:sz w:val="20"/>
          <w:szCs w:val="20"/>
          <w:u w:val="single"/>
        </w:rPr>
      </w:pPr>
      <w:r w:rsidDel="00000000" w:rsidR="00000000" w:rsidRPr="00000000">
        <w:rPr>
          <w:rFonts w:ascii="Calibri" w:cs="Calibri" w:eastAsia="Calibri" w:hAnsi="Calibri"/>
          <w:color w:val="222222"/>
          <w:sz w:val="24"/>
          <w:szCs w:val="24"/>
          <w:highlight w:val="white"/>
        </w:rPr>
        <w:drawing>
          <wp:inline distB="114300" distT="114300" distL="114300" distR="114300">
            <wp:extent cx="5308925" cy="2781300"/>
            <wp:effectExtent b="0" l="0" r="0" t="0"/>
            <wp:docPr id="16"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530892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jc w:val="both"/>
        <w:rPr>
          <w:sz w:val="20"/>
          <w:szCs w:val="20"/>
        </w:rPr>
      </w:pPr>
      <w:r w:rsidDel="00000000" w:rsidR="00000000" w:rsidRPr="00000000">
        <w:rPr>
          <w:b w:val="1"/>
          <w:sz w:val="20"/>
          <w:szCs w:val="20"/>
          <w:rtl w:val="0"/>
        </w:rPr>
        <w:t xml:space="preserve">Figura 2: </w:t>
      </w:r>
      <w:r w:rsidDel="00000000" w:rsidR="00000000" w:rsidRPr="00000000">
        <w:rPr>
          <w:sz w:val="20"/>
          <w:szCs w:val="20"/>
          <w:rtl w:val="0"/>
        </w:rPr>
        <w:t xml:space="preserve">Enanismo en planta de maíz causado por </w:t>
      </w:r>
      <w:r w:rsidDel="00000000" w:rsidR="00000000" w:rsidRPr="00000000">
        <w:rPr>
          <w:i w:val="1"/>
          <w:sz w:val="20"/>
          <w:szCs w:val="20"/>
          <w:rtl w:val="0"/>
        </w:rPr>
        <w:t xml:space="preserve">High plains wheat mosaic virus</w:t>
      </w:r>
      <w:r w:rsidDel="00000000" w:rsidR="00000000" w:rsidRPr="00000000">
        <w:rPr>
          <w:sz w:val="20"/>
          <w:szCs w:val="20"/>
          <w:rtl w:val="0"/>
        </w:rPr>
        <w:t xml:space="preserve"> (ANPROS - SAG, 2022).</w:t>
      </w:r>
    </w:p>
    <w:p w:rsidR="00000000" w:rsidDel="00000000" w:rsidP="00000000" w:rsidRDefault="00000000" w:rsidRPr="00000000" w14:paraId="0000008E">
      <w:pPr>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8F">
      <w:pPr>
        <w:keepNext w:val="1"/>
        <w:pBdr>
          <w:top w:space="0" w:sz="0" w:val="nil"/>
          <w:left w:space="0" w:sz="0" w:val="nil"/>
          <w:bottom w:space="0" w:sz="0" w:val="nil"/>
          <w:right w:space="0" w:sz="0" w:val="nil"/>
          <w:between w:space="0" w:sz="0" w:val="nil"/>
        </w:pBdr>
        <w:spacing w:after="200" w:lineRule="auto"/>
        <w:jc w:val="both"/>
        <w:rPr>
          <w:b w:val="1"/>
          <w:color w:val="000000"/>
          <w:sz w:val="20"/>
          <w:szCs w:val="20"/>
        </w:rPr>
      </w:pPr>
      <w:r w:rsidDel="00000000" w:rsidR="00000000" w:rsidRPr="00000000">
        <w:rPr>
          <w:rtl w:val="0"/>
        </w:rPr>
      </w:r>
    </w:p>
    <w:p w:rsidR="00000000" w:rsidDel="00000000" w:rsidP="00000000" w:rsidRDefault="00000000" w:rsidRPr="00000000" w14:paraId="00000090">
      <w:pPr>
        <w:keepNext w:val="1"/>
        <w:pBdr>
          <w:top w:space="0" w:sz="0" w:val="nil"/>
          <w:left w:space="0" w:sz="0" w:val="nil"/>
          <w:bottom w:space="0" w:sz="0" w:val="nil"/>
          <w:right w:space="0" w:sz="0" w:val="nil"/>
          <w:between w:space="0" w:sz="0" w:val="nil"/>
        </w:pBdr>
        <w:spacing w:after="200" w:lineRule="auto"/>
        <w:jc w:val="both"/>
        <w:rPr>
          <w:b w:val="1"/>
          <w:color w:val="000000"/>
          <w:sz w:val="20"/>
          <w:szCs w:val="20"/>
        </w:rPr>
      </w:pPr>
      <w:r w:rsidDel="00000000" w:rsidR="00000000" w:rsidRPr="00000000">
        <w:rPr>
          <w:rtl w:val="0"/>
        </w:rPr>
      </w:r>
    </w:p>
    <w:p w:rsidR="00000000" w:rsidDel="00000000" w:rsidP="00000000" w:rsidRDefault="00000000" w:rsidRPr="00000000" w14:paraId="00000091">
      <w:pPr>
        <w:keepNext w:val="1"/>
        <w:pBdr>
          <w:top w:space="0" w:sz="0" w:val="nil"/>
          <w:left w:space="0" w:sz="0" w:val="nil"/>
          <w:bottom w:space="0" w:sz="0" w:val="nil"/>
          <w:right w:space="0" w:sz="0" w:val="nil"/>
          <w:between w:space="0" w:sz="0" w:val="nil"/>
        </w:pBdr>
        <w:spacing w:after="200" w:lineRule="auto"/>
        <w:jc w:val="both"/>
        <w:rPr>
          <w:b w:val="1"/>
          <w:sz w:val="20"/>
          <w:szCs w:val="20"/>
        </w:rPr>
      </w:pPr>
      <w:r w:rsidDel="00000000" w:rsidR="00000000" w:rsidRPr="00000000">
        <w:rPr>
          <w:b w:val="1"/>
          <w:sz w:val="20"/>
          <w:szCs w:val="20"/>
        </w:rPr>
        <w:drawing>
          <wp:inline distB="114300" distT="114300" distL="114300" distR="114300">
            <wp:extent cx="5308925" cy="2781300"/>
            <wp:effectExtent b="0" l="0" r="0" t="0"/>
            <wp:docPr id="19"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530892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1"/>
        <w:spacing w:after="200" w:lineRule="auto"/>
        <w:jc w:val="both"/>
        <w:rPr>
          <w:sz w:val="20"/>
          <w:szCs w:val="20"/>
        </w:rPr>
      </w:pPr>
      <w:r w:rsidDel="00000000" w:rsidR="00000000" w:rsidRPr="00000000">
        <w:rPr>
          <w:b w:val="1"/>
          <w:sz w:val="20"/>
          <w:szCs w:val="20"/>
          <w:rtl w:val="0"/>
        </w:rPr>
        <w:t xml:space="preserve">Figura 3: </w:t>
      </w:r>
      <w:r w:rsidDel="00000000" w:rsidR="00000000" w:rsidRPr="00000000">
        <w:rPr>
          <w:sz w:val="20"/>
          <w:szCs w:val="20"/>
          <w:rtl w:val="0"/>
        </w:rPr>
        <w:t xml:space="preserve">Síntoma de </w:t>
      </w:r>
      <w:r w:rsidDel="00000000" w:rsidR="00000000" w:rsidRPr="00000000">
        <w:rPr>
          <w:i w:val="1"/>
          <w:sz w:val="20"/>
          <w:szCs w:val="20"/>
          <w:rtl w:val="0"/>
        </w:rPr>
        <w:t xml:space="preserve">High plains wheat mosaic virus </w:t>
      </w:r>
      <w:r w:rsidDel="00000000" w:rsidR="00000000" w:rsidRPr="00000000">
        <w:rPr>
          <w:sz w:val="20"/>
          <w:szCs w:val="20"/>
          <w:rtl w:val="0"/>
        </w:rPr>
        <w:t xml:space="preserve">(HPWMoV) en maíz dulce (Forestry Images, 2018).</w:t>
      </w:r>
    </w:p>
    <w:p w:rsidR="00000000" w:rsidDel="00000000" w:rsidP="00000000" w:rsidRDefault="00000000" w:rsidRPr="00000000" w14:paraId="00000093">
      <w:pPr>
        <w:jc w:val="both"/>
        <w:rPr>
          <w:b w:val="1"/>
          <w:sz w:val="20"/>
          <w:szCs w:val="20"/>
        </w:rPr>
      </w:pPr>
      <w:r w:rsidDel="00000000" w:rsidR="00000000" w:rsidRPr="00000000">
        <w:rPr>
          <w:rtl w:val="0"/>
        </w:rPr>
      </w:r>
    </w:p>
    <w:p w:rsidR="00000000" w:rsidDel="00000000" w:rsidP="00000000" w:rsidRDefault="00000000" w:rsidRPr="00000000" w14:paraId="00000094">
      <w:pPr>
        <w:jc w:val="both"/>
        <w:rPr>
          <w:b w:val="1"/>
          <w:sz w:val="20"/>
          <w:szCs w:val="20"/>
        </w:rPr>
      </w:pPr>
      <w:r w:rsidDel="00000000" w:rsidR="00000000" w:rsidRPr="00000000">
        <w:rPr>
          <w:rtl w:val="0"/>
        </w:rPr>
      </w:r>
    </w:p>
    <w:p w:rsidR="00000000" w:rsidDel="00000000" w:rsidP="00000000" w:rsidRDefault="00000000" w:rsidRPr="00000000" w14:paraId="00000095">
      <w:pPr>
        <w:jc w:val="both"/>
        <w:rPr>
          <w:b w:val="1"/>
          <w:sz w:val="20"/>
          <w:szCs w:val="20"/>
        </w:rPr>
      </w:pPr>
      <w:r w:rsidDel="00000000" w:rsidR="00000000" w:rsidRPr="00000000">
        <w:rPr>
          <w:rtl w:val="0"/>
        </w:rPr>
      </w:r>
    </w:p>
    <w:p w:rsidR="00000000" w:rsidDel="00000000" w:rsidP="00000000" w:rsidRDefault="00000000" w:rsidRPr="00000000" w14:paraId="00000096">
      <w:pPr>
        <w:jc w:val="both"/>
        <w:rPr>
          <w:b w:val="1"/>
          <w:sz w:val="20"/>
          <w:szCs w:val="20"/>
        </w:rPr>
      </w:pPr>
      <w:r w:rsidDel="00000000" w:rsidR="00000000" w:rsidRPr="00000000">
        <w:rPr>
          <w:rtl w:val="0"/>
        </w:rPr>
      </w:r>
    </w:p>
    <w:p w:rsidR="00000000" w:rsidDel="00000000" w:rsidP="00000000" w:rsidRDefault="00000000" w:rsidRPr="00000000" w14:paraId="00000097">
      <w:pPr>
        <w:jc w:val="both"/>
        <w:rPr/>
      </w:pPr>
      <w:r w:rsidDel="00000000" w:rsidR="00000000" w:rsidRPr="00000000">
        <w:rPr>
          <w:rtl w:val="0"/>
        </w:rPr>
      </w:r>
    </w:p>
    <w:p w:rsidR="00000000" w:rsidDel="00000000" w:rsidP="00000000" w:rsidRDefault="00000000" w:rsidRPr="00000000" w14:paraId="00000098">
      <w:pPr>
        <w:spacing w:line="360" w:lineRule="auto"/>
        <w:ind w:firstLine="720"/>
        <w:jc w:val="both"/>
        <w:rPr>
          <w:sz w:val="20"/>
          <w:szCs w:val="20"/>
        </w:rPr>
      </w:pPr>
      <w:r w:rsidDel="00000000" w:rsidR="00000000" w:rsidRPr="00000000">
        <w:rPr/>
        <w:drawing>
          <wp:inline distB="114300" distT="114300" distL="114300" distR="114300">
            <wp:extent cx="3445241" cy="3391885"/>
            <wp:effectExtent b="0" l="0" r="0" t="0"/>
            <wp:docPr id="18"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3445241" cy="3391885"/>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240" w:lineRule="auto"/>
        <w:jc w:val="both"/>
        <w:rPr>
          <w:sz w:val="20"/>
          <w:szCs w:val="20"/>
        </w:rPr>
      </w:pPr>
      <w:r w:rsidDel="00000000" w:rsidR="00000000" w:rsidRPr="00000000">
        <w:rPr>
          <w:b w:val="1"/>
          <w:sz w:val="20"/>
          <w:szCs w:val="20"/>
          <w:rtl w:val="0"/>
        </w:rPr>
        <w:t xml:space="preserve">Figura 4: </w:t>
      </w:r>
      <w:r w:rsidDel="00000000" w:rsidR="00000000" w:rsidRPr="00000000">
        <w:rPr>
          <w:sz w:val="20"/>
          <w:szCs w:val="20"/>
          <w:rtl w:val="0"/>
        </w:rPr>
        <w:t xml:space="preserve">Síntomas de </w:t>
      </w:r>
      <w:r w:rsidDel="00000000" w:rsidR="00000000" w:rsidRPr="00000000">
        <w:rPr>
          <w:i w:val="1"/>
          <w:sz w:val="20"/>
          <w:szCs w:val="20"/>
          <w:rtl w:val="0"/>
        </w:rPr>
        <w:t xml:space="preserve">High plains wheat mosaic virus </w:t>
      </w:r>
      <w:r w:rsidDel="00000000" w:rsidR="00000000" w:rsidRPr="00000000">
        <w:rPr>
          <w:sz w:val="20"/>
          <w:szCs w:val="20"/>
          <w:rtl w:val="0"/>
        </w:rPr>
        <w:t xml:space="preserve">(HPWMoV)</w:t>
      </w:r>
      <w:r w:rsidDel="00000000" w:rsidR="00000000" w:rsidRPr="00000000">
        <w:rPr>
          <w:i w:val="1"/>
          <w:sz w:val="20"/>
          <w:szCs w:val="20"/>
          <w:rtl w:val="0"/>
        </w:rPr>
        <w:t xml:space="preserve"> </w:t>
      </w:r>
      <w:r w:rsidDel="00000000" w:rsidR="00000000" w:rsidRPr="00000000">
        <w:rPr>
          <w:sz w:val="20"/>
          <w:szCs w:val="20"/>
          <w:rtl w:val="0"/>
        </w:rPr>
        <w:t xml:space="preserve">en trigo. H- Hoja sana. I - Hoja con síntomas 12 y 30 días después de la infección (Tatineni y Hein, 2021).</w:t>
      </w:r>
    </w:p>
    <w:p w:rsidR="00000000" w:rsidDel="00000000" w:rsidP="00000000" w:rsidRDefault="00000000" w:rsidRPr="00000000" w14:paraId="0000009A">
      <w:pPr>
        <w:spacing w:line="360" w:lineRule="auto"/>
        <w:jc w:val="both"/>
        <w:rPr>
          <w:b w:val="1"/>
        </w:rPr>
      </w:pPr>
      <w:r w:rsidDel="00000000" w:rsidR="00000000" w:rsidRPr="00000000">
        <w:rPr>
          <w:rtl w:val="0"/>
        </w:rPr>
      </w:r>
    </w:p>
    <w:p w:rsidR="00000000" w:rsidDel="00000000" w:rsidP="00000000" w:rsidRDefault="00000000" w:rsidRPr="00000000" w14:paraId="0000009B">
      <w:pPr>
        <w:spacing w:line="360" w:lineRule="auto"/>
        <w:jc w:val="both"/>
        <w:rPr>
          <w:b w:val="1"/>
        </w:rPr>
      </w:pPr>
      <w:r w:rsidDel="00000000" w:rsidR="00000000" w:rsidRPr="00000000">
        <w:rPr>
          <w:rtl w:val="0"/>
        </w:rPr>
      </w:r>
    </w:p>
    <w:p w:rsidR="00000000" w:rsidDel="00000000" w:rsidP="00000000" w:rsidRDefault="00000000" w:rsidRPr="00000000" w14:paraId="0000009C">
      <w:pPr>
        <w:spacing w:line="360" w:lineRule="auto"/>
        <w:ind w:firstLine="720"/>
        <w:jc w:val="both"/>
        <w:rPr/>
      </w:pPr>
      <w:r w:rsidDel="00000000" w:rsidR="00000000" w:rsidRPr="00000000">
        <w:rPr/>
        <w:drawing>
          <wp:inline distB="114300" distT="114300" distL="114300" distR="114300">
            <wp:extent cx="3664198" cy="2927411"/>
            <wp:effectExtent b="0" l="0" r="0" t="0"/>
            <wp:docPr id="13"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3664198" cy="2927411"/>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line="240" w:lineRule="auto"/>
        <w:jc w:val="both"/>
        <w:rPr>
          <w:color w:val="222222"/>
          <w:sz w:val="20"/>
          <w:szCs w:val="20"/>
          <w:highlight w:val="white"/>
        </w:rPr>
      </w:pPr>
      <w:r w:rsidDel="00000000" w:rsidR="00000000" w:rsidRPr="00000000">
        <w:rPr>
          <w:b w:val="1"/>
          <w:sz w:val="20"/>
          <w:szCs w:val="20"/>
          <w:rtl w:val="0"/>
        </w:rPr>
        <w:t xml:space="preserve">Figura 5: </w:t>
      </w:r>
      <w:r w:rsidDel="00000000" w:rsidR="00000000" w:rsidRPr="00000000">
        <w:rPr>
          <w:sz w:val="20"/>
          <w:szCs w:val="20"/>
          <w:rtl w:val="0"/>
        </w:rPr>
        <w:t xml:space="preserve">Síntomas de </w:t>
      </w:r>
      <w:r w:rsidDel="00000000" w:rsidR="00000000" w:rsidRPr="00000000">
        <w:rPr>
          <w:i w:val="1"/>
          <w:sz w:val="20"/>
          <w:szCs w:val="20"/>
          <w:rtl w:val="0"/>
        </w:rPr>
        <w:t xml:space="preserve">High plains wheat mosaic virus</w:t>
      </w:r>
      <w:r w:rsidDel="00000000" w:rsidR="00000000" w:rsidRPr="00000000">
        <w:rPr>
          <w:sz w:val="20"/>
          <w:szCs w:val="20"/>
          <w:rtl w:val="0"/>
        </w:rPr>
        <w:t xml:space="preserve"> (HPWMoV) en maíz (Tatineni y Hein, 2021).</w:t>
      </w:r>
      <w:r w:rsidDel="00000000" w:rsidR="00000000" w:rsidRPr="00000000">
        <w:rPr>
          <w:rtl w:val="0"/>
        </w:rPr>
      </w:r>
    </w:p>
    <w:p w:rsidR="00000000" w:rsidDel="00000000" w:rsidP="00000000" w:rsidRDefault="00000000" w:rsidRPr="00000000" w14:paraId="0000009E">
      <w:pPr>
        <w:spacing w:line="360" w:lineRule="auto"/>
        <w:ind w:firstLine="720"/>
        <w:jc w:val="both"/>
        <w:rPr/>
      </w:pPr>
      <w:r w:rsidDel="00000000" w:rsidR="00000000" w:rsidRPr="00000000">
        <w:rPr>
          <w:rtl w:val="0"/>
        </w:rPr>
      </w:r>
    </w:p>
    <w:sectPr>
      <w:headerReference r:id="rId23" w:type="default"/>
      <w:headerReference r:id="rId24" w:type="first"/>
      <w:footerReference r:id="rId25" w:type="default"/>
      <w:footerReference r:id="rId26" w:type="first"/>
      <w:pgSz w:h="16820" w:w="11900" w:orient="portrait"/>
      <w:pgMar w:bottom="1536" w:top="1984.251968503937" w:left="1710" w:right="1835"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spacing w:line="240" w:lineRule="auto"/>
      <w:jc w:val="right"/>
      <w:rPr>
        <w:color w:val="7f7f7f"/>
        <w:sz w:val="18"/>
        <w:szCs w:val="18"/>
      </w:rPr>
    </w:pPr>
    <w:r w:rsidDel="00000000" w:rsidR="00000000" w:rsidRPr="00000000">
      <w:rPr>
        <w:color w:val="7f7f7f"/>
        <w:sz w:val="18"/>
        <w:szCs w:val="18"/>
        <w:rtl w:val="0"/>
      </w:rPr>
      <w:t xml:space="preserve">Anexo </w:t>
    </w:r>
    <w:r w:rsidDel="00000000" w:rsidR="00000000" w:rsidRPr="00000000">
      <w:rPr>
        <w:i w:val="1"/>
        <w:color w:val="7f7f7f"/>
        <w:sz w:val="18"/>
        <w:szCs w:val="18"/>
        <w:rtl w:val="0"/>
      </w:rPr>
      <w:t xml:space="preserve">High plains wheat mosaic virus </w:t>
    </w:r>
    <w:r w:rsidDel="00000000" w:rsidR="00000000" w:rsidRPr="00000000">
      <w:rPr>
        <w:color w:val="7f7f7f"/>
        <w:sz w:val="18"/>
        <w:szCs w:val="18"/>
        <w:rtl w:val="0"/>
      </w:rPr>
      <w:t xml:space="preserve">• Plan Piloto Regional para la certificación fitosanitaria de semilla de </w:t>
    </w:r>
    <w:r w:rsidDel="00000000" w:rsidR="00000000" w:rsidRPr="00000000">
      <w:rPr>
        <w:i w:val="1"/>
        <w:color w:val="7f7f7f"/>
        <w:sz w:val="18"/>
        <w:szCs w:val="18"/>
        <w:rtl w:val="0"/>
      </w:rPr>
      <w:t xml:space="preserve">Zea Mays</w:t>
    </w:r>
    <w:r w:rsidDel="00000000" w:rsidR="00000000" w:rsidRPr="00000000">
      <w:rPr>
        <w:color w:val="7f7f7f"/>
        <w:sz w:val="18"/>
        <w:szCs w:val="18"/>
        <w:rtl w:val="0"/>
      </w:rPr>
      <w:t xml:space="preserve"> con uso previsto propagación y propósito experimentación bajo un enfoque de sistemas •</w:t>
    </w:r>
  </w:p>
  <w:p w:rsidR="00000000" w:rsidDel="00000000" w:rsidP="00000000" w:rsidRDefault="00000000" w:rsidRPr="00000000" w14:paraId="000000A3">
    <w:pPr>
      <w:spacing w:line="240" w:lineRule="auto"/>
      <w:jc w:val="right"/>
      <w:rPr/>
    </w:pPr>
    <w:r w:rsidDel="00000000" w:rsidR="00000000" w:rsidRPr="00000000">
      <w:rPr>
        <w:color w:val="7f7f7f"/>
        <w:sz w:val="18"/>
        <w:szCs w:val="18"/>
        <w:rtl w:val="0"/>
      </w:rPr>
      <w:t xml:space="preserve">COSAVE – página </w:t>
    </w:r>
    <w:r w:rsidDel="00000000" w:rsidR="00000000" w:rsidRPr="00000000">
      <w:rPr>
        <w:color w:val="7f7f7f"/>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jc w:val="r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-917411</wp:posOffset>
          </wp:positionH>
          <wp:positionV relativeFrom="paragraph">
            <wp:posOffset>114300</wp:posOffset>
          </wp:positionV>
          <wp:extent cx="7143750" cy="1009650"/>
          <wp:effectExtent b="0" l="0" r="0" t="0"/>
          <wp:wrapNone/>
          <wp:docPr id="14" name="image1.png"/>
          <a:graphic>
            <a:graphicData uri="http://schemas.openxmlformats.org/drawingml/2006/picture">
              <pic:pic>
                <pic:nvPicPr>
                  <pic:cNvPr id="0" name="image1.png"/>
                  <pic:cNvPicPr preferRelativeResize="0"/>
                </pic:nvPicPr>
                <pic:blipFill>
                  <a:blip r:embed="rId1"/>
                  <a:srcRect b="0" l="3588" r="3588" t="14516"/>
                  <a:stretch>
                    <a:fillRect/>
                  </a:stretch>
                </pic:blipFill>
                <pic:spPr>
                  <a:xfrm>
                    <a:off x="0" y="0"/>
                    <a:ext cx="7143750" cy="1009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Prrafodelista">
    <w:name w:val="List Paragraph"/>
    <w:basedOn w:val="Normal"/>
    <w:uiPriority w:val="34"/>
    <w:qFormat w:val="1"/>
    <w:rsid w:val="001201BD"/>
    <w:pPr>
      <w:spacing w:after="160" w:line="259" w:lineRule="auto"/>
      <w:ind w:left="720"/>
      <w:contextualSpacing w:val="1"/>
    </w:pPr>
    <w:rPr>
      <w:rFonts w:asciiTheme="minorHAnsi" w:cstheme="minorBidi" w:eastAsiaTheme="minorHAnsi" w:hAnsiTheme="minorHAnsi"/>
      <w:lang w:eastAsia="en-US" w:val="es-PY"/>
    </w:rPr>
  </w:style>
  <w:style w:type="character" w:styleId="Hipervnculo">
    <w:name w:val="Hyperlink"/>
    <w:basedOn w:val="Fuentedeprrafopredeter"/>
    <w:uiPriority w:val="99"/>
    <w:unhideWhenUsed w:val="1"/>
    <w:rsid w:val="001201BD"/>
    <w:rPr>
      <w:color w:val="0000ff" w:themeColor="hyperlink"/>
      <w:u w:val="single"/>
    </w:rPr>
  </w:style>
  <w:style w:type="paragraph" w:styleId="NormalWeb">
    <w:name w:val="Normal (Web)"/>
    <w:basedOn w:val="Normal"/>
    <w:uiPriority w:val="99"/>
    <w:semiHidden w:val="1"/>
    <w:unhideWhenUsed w:val="1"/>
    <w:rsid w:val="001201BD"/>
    <w:pPr>
      <w:spacing w:after="100" w:afterAutospacing="1" w:before="100" w:beforeAutospacing="1" w:line="240" w:lineRule="auto"/>
    </w:pPr>
    <w:rPr>
      <w:rFonts w:ascii="Times New Roman" w:cs="Times New Roman" w:eastAsia="Times New Roman" w:hAnsi="Times New Roman"/>
      <w:sz w:val="24"/>
      <w:szCs w:val="24"/>
      <w:lang w:eastAsia="es-PY" w:val="es-PY"/>
    </w:rPr>
  </w:style>
  <w:style w:type="character" w:styleId="Textoennegrita">
    <w:name w:val="Strong"/>
    <w:basedOn w:val="Fuentedeprrafopredeter"/>
    <w:uiPriority w:val="22"/>
    <w:qFormat w:val="1"/>
    <w:rsid w:val="001201BD"/>
    <w:rPr>
      <w:b w:val="1"/>
      <w:bCs w:val="1"/>
    </w:rPr>
  </w:style>
  <w:style w:type="paragraph" w:styleId="Encabezado">
    <w:name w:val="header"/>
    <w:basedOn w:val="Normal"/>
    <w:link w:val="EncabezadoCar"/>
    <w:uiPriority w:val="99"/>
    <w:unhideWhenUsed w:val="1"/>
    <w:rsid w:val="00CD3534"/>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CD3534"/>
  </w:style>
  <w:style w:type="paragraph" w:styleId="Piedepgina">
    <w:name w:val="footer"/>
    <w:basedOn w:val="Normal"/>
    <w:link w:val="PiedepginaCar"/>
    <w:uiPriority w:val="99"/>
    <w:unhideWhenUsed w:val="1"/>
    <w:rsid w:val="00CD3534"/>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CD3534"/>
  </w:style>
  <w:style w:type="character" w:styleId="Refdecomentario">
    <w:name w:val="annotation reference"/>
    <w:basedOn w:val="Fuentedeprrafopredeter"/>
    <w:uiPriority w:val="99"/>
    <w:semiHidden w:val="1"/>
    <w:unhideWhenUsed w:val="1"/>
    <w:rsid w:val="009B1CB8"/>
    <w:rPr>
      <w:sz w:val="16"/>
      <w:szCs w:val="16"/>
    </w:rPr>
  </w:style>
  <w:style w:type="paragraph" w:styleId="Textocomentario">
    <w:name w:val="annotation text"/>
    <w:basedOn w:val="Normal"/>
    <w:link w:val="TextocomentarioCar"/>
    <w:uiPriority w:val="99"/>
    <w:semiHidden w:val="1"/>
    <w:unhideWhenUsed w:val="1"/>
    <w:rsid w:val="009B1CB8"/>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9B1CB8"/>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9B1CB8"/>
    <w:rPr>
      <w:b w:val="1"/>
      <w:bCs w:val="1"/>
    </w:rPr>
  </w:style>
  <w:style w:type="character" w:styleId="AsuntodelcomentarioCar" w:customStyle="1">
    <w:name w:val="Asunto del comentario Car"/>
    <w:basedOn w:val="TextocomentarioCar"/>
    <w:link w:val="Asuntodelcomentario"/>
    <w:uiPriority w:val="99"/>
    <w:semiHidden w:val="1"/>
    <w:rsid w:val="009B1CB8"/>
    <w:rPr>
      <w:b w:val="1"/>
      <w:bCs w:val="1"/>
      <w:sz w:val="20"/>
      <w:szCs w:val="20"/>
    </w:rPr>
  </w:style>
  <w:style w:type="character" w:styleId="Mencinsinresolver1" w:customStyle="1">
    <w:name w:val="Mención sin resolver1"/>
    <w:basedOn w:val="Fuentedeprrafopredeter"/>
    <w:uiPriority w:val="99"/>
    <w:semiHidden w:val="1"/>
    <w:unhideWhenUsed w:val="1"/>
    <w:rsid w:val="00772494"/>
    <w:rPr>
      <w:color w:val="605e5c"/>
      <w:shd w:color="auto" w:fill="e1dfdd" w:val="clear"/>
    </w:rPr>
  </w:style>
  <w:style w:type="character" w:styleId="html-italic" w:customStyle="1">
    <w:name w:val="html-italic"/>
    <w:basedOn w:val="Fuentedeprrafopredeter"/>
    <w:rsid w:val="00C85FB3"/>
  </w:style>
  <w:style w:type="character" w:styleId="nfasis">
    <w:name w:val="Emphasis"/>
    <w:basedOn w:val="Fuentedeprrafopredeter"/>
    <w:uiPriority w:val="20"/>
    <w:qFormat w:val="1"/>
    <w:rsid w:val="00A5435C"/>
    <w:rPr>
      <w:i w:val="1"/>
      <w:iCs w:val="1"/>
    </w:rPr>
  </w:style>
  <w:style w:type="paragraph" w:styleId="Textodeglobo">
    <w:name w:val="Balloon Text"/>
    <w:basedOn w:val="Normal"/>
    <w:link w:val="TextodegloboCar"/>
    <w:uiPriority w:val="99"/>
    <w:semiHidden w:val="1"/>
    <w:unhideWhenUsed w:val="1"/>
    <w:rsid w:val="00381701"/>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381701"/>
    <w:rPr>
      <w:rFonts w:ascii="Segoe UI" w:cs="Segoe UI" w:hAnsi="Segoe UI"/>
      <w:sz w:val="18"/>
      <w:szCs w:val="18"/>
    </w:rPr>
  </w:style>
  <w:style w:type="character" w:styleId="topic-highlight" w:customStyle="1">
    <w:name w:val="topic-highlight"/>
    <w:basedOn w:val="Fuentedeprrafopredeter"/>
    <w:rsid w:val="00950EC9"/>
  </w:style>
  <w:style w:type="character" w:styleId="information-pathogen-detail" w:customStyle="1">
    <w:name w:val="information-pathogen-detail"/>
    <w:basedOn w:val="Fuentedeprrafopredeter"/>
    <w:rsid w:val="007F50D0"/>
  </w:style>
  <w:style w:type="paragraph" w:styleId="Epgrafe">
    <w:name w:val="caption"/>
    <w:basedOn w:val="Normal"/>
    <w:next w:val="Normal"/>
    <w:uiPriority w:val="35"/>
    <w:unhideWhenUsed w:val="1"/>
    <w:qFormat w:val="1"/>
    <w:rsid w:val="00954903"/>
    <w:pPr>
      <w:spacing w:after="200" w:line="240" w:lineRule="auto"/>
    </w:pPr>
    <w:rPr>
      <w:b w:val="1"/>
      <w:bCs w:val="1"/>
      <w:color w:val="4f81bd" w:themeColor="accent1"/>
      <w:sz w:val="18"/>
      <w:szCs w:val="18"/>
    </w:rPr>
  </w:style>
  <w:style w:type="paragraph" w:styleId="Revisin">
    <w:name w:val="Revision"/>
    <w:hidden w:val="1"/>
    <w:uiPriority w:val="99"/>
    <w:semiHidden w:val="1"/>
    <w:rsid w:val="00C0129A"/>
    <w:pPr>
      <w:spacing w:line="240" w:lineRule="auto"/>
    </w:pPr>
  </w:style>
  <w:style w:type="character" w:styleId="pull-right" w:customStyle="1">
    <w:name w:val="pull-right"/>
    <w:basedOn w:val="Fuentedeprrafopredeter"/>
    <w:rsid w:val="00AA5604"/>
  </w:style>
  <w:style w:type="character" w:styleId="field-content" w:customStyle="1">
    <w:name w:val="field-content"/>
    <w:basedOn w:val="Fuentedeprrafopredeter"/>
    <w:rsid w:val="00B45DD3"/>
  </w:style>
  <w:style w:type="paragraph" w:styleId="Default" w:customStyle="1">
    <w:name w:val="Default"/>
    <w:rsid w:val="00940B13"/>
    <w:pPr>
      <w:autoSpaceDE w:val="0"/>
      <w:autoSpaceDN w:val="0"/>
      <w:adjustRightInd w:val="0"/>
      <w:spacing w:line="240" w:lineRule="auto"/>
    </w:pPr>
    <w:rPr>
      <w:rFonts w:ascii="Bookerly" w:cs="Bookerly" w:hAnsi="Bookerly"/>
      <w:color w:val="000000"/>
      <w:sz w:val="24"/>
      <w:szCs w:val="24"/>
      <w:lang w:val="es-AR"/>
    </w:rPr>
  </w:style>
  <w:style w:type="character" w:styleId="Mencinsinresolver2" w:customStyle="1">
    <w:name w:val="Mención sin resolver2"/>
    <w:basedOn w:val="Fuentedeprrafopredeter"/>
    <w:uiPriority w:val="99"/>
    <w:semiHidden w:val="1"/>
    <w:unhideWhenUsed w:val="1"/>
    <w:rsid w:val="002B4383"/>
    <w:rPr>
      <w:color w:val="605e5c"/>
      <w:shd w:color="auto" w:fill="e1dfdd" w:val="clear"/>
    </w:rPr>
  </w:style>
  <w:style w:type="table" w:styleId="a" w:customStyle="1">
    <w:basedOn w:val="TableNormal1"/>
    <w:tblPr>
      <w:tblStyleRowBandSize w:val="1"/>
      <w:tblStyleColBandSize w:val="1"/>
      <w:tblCellMar>
        <w:top w:w="15.0" w:type="dxa"/>
        <w:left w:w="15.0" w:type="dxa"/>
        <w:bottom w:w="15.0" w:type="dxa"/>
        <w:right w:w="15.0" w:type="dxa"/>
      </w:tblCellMar>
    </w:tblPr>
  </w:style>
  <w:style w:type="paragraph" w:styleId="CharCharChar" w:customStyle="1">
    <w:name w:val="Char Char Char"/>
    <w:basedOn w:val="Normal"/>
    <w:rsid w:val="007C416D"/>
    <w:pPr>
      <w:spacing w:after="160" w:line="240" w:lineRule="exact"/>
    </w:pPr>
    <w:rPr>
      <w:rFonts w:ascii="Tahoma" w:cs="Times New Roman" w:eastAsia="MS Mincho" w:hAnsi="Tahoma"/>
      <w:sz w:val="20"/>
      <w:szCs w:val="20"/>
      <w:lang w:eastAsia="en-US" w:val="en-US"/>
    </w:rPr>
  </w:style>
  <w:style w:type="table" w:styleId="a0" w:customStyle="1">
    <w:basedOn w:val="TableNormal0"/>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6.png"/><Relationship Id="rId21" Type="http://schemas.openxmlformats.org/officeDocument/2006/relationships/image" Target="media/image4.png"/><Relationship Id="rId24" Type="http://schemas.openxmlformats.org/officeDocument/2006/relationships/header" Target="head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bidigitallibrary.org/" TargetMode="External"/><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docs.google.com/document/d/1Lkt7VJvRsEZAVjiF0YJvC9Am6RokXBBP/edit#heading=h.3whwml4" TargetMode="External"/><Relationship Id="rId11" Type="http://schemas.openxmlformats.org/officeDocument/2006/relationships/hyperlink" Target="http://www.scielo.org.ar/scielo.php?script=sci_arttext&amp;pid=S1669-23142013000100011" TargetMode="External"/><Relationship Id="rId10" Type="http://schemas.openxmlformats.org/officeDocument/2006/relationships/hyperlink" Target="https://www.cabidigitallibrary.org/" TargetMode="External"/><Relationship Id="rId13" Type="http://schemas.openxmlformats.org/officeDocument/2006/relationships/hyperlink" Target="https://pubmed.ncbi.nlm.nih.gov/30856864/" TargetMode="External"/><Relationship Id="rId12" Type="http://schemas.openxmlformats.org/officeDocument/2006/relationships/hyperlink" Target="https://pubmed.ncbi.nlm.nih.gov/30856864/" TargetMode="External"/><Relationship Id="rId15" Type="http://schemas.openxmlformats.org/officeDocument/2006/relationships/hyperlink" Target="https://digitalcommons.unl.edu/cgi/viewcontent.cgi?referer=&amp;httpsredir=1&amp;article=1327&amp;context=plantpathpapers" TargetMode="External"/><Relationship Id="rId14" Type="http://schemas.openxmlformats.org/officeDocument/2006/relationships/hyperlink" Target="https://digitalcommons.unl.edu/cgi/viewcontent.cgi?referer=&amp;httpsredir=1&amp;article=1327&amp;context=plantpathpapers" TargetMode="External"/><Relationship Id="rId17" Type="http://schemas.openxmlformats.org/officeDocument/2006/relationships/hyperlink" Target="https://www.sciencedirect.com/science/article/pii/S0042682205007798" TargetMode="External"/><Relationship Id="rId16" Type="http://schemas.openxmlformats.org/officeDocument/2006/relationships/hyperlink" Target="https://www.sciencedirect.com/science/article/pii/S0042682205007798" TargetMode="External"/><Relationship Id="rId19" Type="http://schemas.openxmlformats.org/officeDocument/2006/relationships/image" Target="media/image5.jpg"/><Relationship Id="rId18"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JYnJrAIQzSADKmzlbuHLBpsuog==">CgMxLjAyDmgubDM0aDRmNDN2NDNrMgloLjMwajB6bGwyDmguZmQ5bHJweGtsMTNzMghoLmdqZGd4czIOaC51Yjl4ZnppdGg2ZHkyDmgueW95bnFma2kxM2w1Mg5oLnZnbWUyeGZlMzhveDIOaC54OGZvaTNvcjR5ZnEyDmguZXZ1bDl2b25qeHJ5Mg5oLjZ0Y3c0NHZqcXBuazIOaC52dGRobDYxNTZ4YmEyDmgubHltZmtmeGo1enExMg5oLjNseTdna2x5YXM1bDIOaC5kbmZvdmR2enMzYTA4AGokChRzdWdnZXN0LmlwdGdoazVtOXM1NhIMU2FicmluYSBNYXJ5aiQKFHN1Z2dlc3QuaGs0Y2JsM3lwNzNjEgxTYWJyaW5hIE1hcnlyITF4ektzeC04T3MwMnpmTVMxUU1LakFrVU1uVlV5WXA0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2023-03-10T19:07:00Z</dcterms:created>
  <dc:creator>Presidencia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0x01010063D7B468B8B2C44C9EF556F25A9B21BC</vt:lpwstr>
  </property>
</Properties>
</file>