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ind w:left="2561" w:firstLine="0"/>
        <w:rPr>
          <w:color w:val="000000"/>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799" w:line="240" w:lineRule="auto"/>
        <w:jc w:val="center"/>
        <w:rPr>
          <w:i w:val="1"/>
          <w:sz w:val="24"/>
          <w:szCs w:val="24"/>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799" w:line="240" w:lineRule="auto"/>
        <w:jc w:val="center"/>
        <w:rPr>
          <w:i w:val="1"/>
          <w:color w:val="000000"/>
          <w:sz w:val="32"/>
          <w:szCs w:val="32"/>
        </w:rPr>
      </w:pPr>
      <w:r w:rsidDel="00000000" w:rsidR="00000000" w:rsidRPr="00000000">
        <w:rPr/>
        <w:drawing>
          <wp:inline distB="0" distT="0" distL="0" distR="0">
            <wp:extent cx="2129558" cy="1927860"/>
            <wp:effectExtent b="0" l="0" r="0" t="0"/>
            <wp:docPr descr="C:\Users\Usuario\AppData\Local\Microsoft\Windows\INetCache\Content.Word\COSAVE - Logo.png" id="23" name="image4.png"/>
            <a:graphic>
              <a:graphicData uri="http://schemas.openxmlformats.org/drawingml/2006/picture">
                <pic:pic>
                  <pic:nvPicPr>
                    <pic:cNvPr descr="C:\Users\Usuario\AppData\Local\Microsoft\Windows\INetCache\Content.Word\COSAVE - Logo.png" id="0" name="image4.png"/>
                    <pic:cNvPicPr preferRelativeResize="0"/>
                  </pic:nvPicPr>
                  <pic:blipFill>
                    <a:blip r:embed="rId7"/>
                    <a:srcRect b="0" l="19" r="19" t="0"/>
                    <a:stretch>
                      <a:fillRect/>
                    </a:stretch>
                  </pic:blipFill>
                  <pic:spPr>
                    <a:xfrm>
                      <a:off x="0" y="0"/>
                      <a:ext cx="2129558" cy="192786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b w:val="1"/>
          <w:i w:val="1"/>
          <w:color w:val="000000"/>
          <w:sz w:val="32"/>
          <w:szCs w:val="32"/>
        </w:rPr>
      </w:pPr>
      <w:r w:rsidDel="00000000" w:rsidR="00000000" w:rsidRPr="00000000">
        <w:rPr>
          <w:rtl w:val="0"/>
        </w:rPr>
      </w:r>
    </w:p>
    <w:p w:rsidR="00000000" w:rsidDel="00000000" w:rsidP="00000000" w:rsidRDefault="00000000" w:rsidRPr="00000000" w14:paraId="00000009">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A">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B">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C">
      <w:pPr>
        <w:spacing w:line="240" w:lineRule="auto"/>
        <w:jc w:val="center"/>
        <w:rPr>
          <w:b w:val="1"/>
          <w:color w:val="000000"/>
          <w:sz w:val="32"/>
          <w:szCs w:val="32"/>
        </w:rPr>
      </w:pPr>
      <w:r w:rsidDel="00000000" w:rsidR="00000000" w:rsidRPr="00000000">
        <w:rPr>
          <w:b w:val="1"/>
          <w:sz w:val="32"/>
          <w:szCs w:val="32"/>
          <w:rtl w:val="0"/>
        </w:rPr>
        <w:t xml:space="preserve">13. Anexo: Plagas reglamentadas</w:t>
      </w:r>
      <w:r w:rsidDel="00000000" w:rsidR="00000000" w:rsidRPr="00000000">
        <w:rPr>
          <w:rtl w:val="0"/>
        </w:rPr>
      </w:r>
    </w:p>
    <w:p w:rsidR="00000000" w:rsidDel="00000000" w:rsidP="00000000" w:rsidRDefault="00000000" w:rsidRPr="00000000" w14:paraId="0000000D">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E">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F">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ind w:left="344" w:firstLine="0"/>
        <w:jc w:val="center"/>
        <w:rPr>
          <w:b w:val="1"/>
          <w:i w:val="1"/>
          <w:color w:val="000000"/>
          <w:sz w:val="32"/>
          <w:szCs w:val="32"/>
        </w:rPr>
      </w:pPr>
      <w:r w:rsidDel="00000000" w:rsidR="00000000" w:rsidRPr="00000000">
        <w:rPr>
          <w:b w:val="1"/>
          <w:i w:val="1"/>
          <w:color w:val="000000"/>
          <w:sz w:val="32"/>
          <w:szCs w:val="32"/>
          <w:rtl w:val="0"/>
        </w:rPr>
        <w:t xml:space="preserve">Magnaporthiopsis maydis</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ind w:left="344" w:firstLine="0"/>
        <w:jc w:val="center"/>
        <w:rPr>
          <w:b w:val="1"/>
          <w:i w:val="1"/>
          <w:color w:val="000000"/>
          <w:sz w:val="32"/>
          <w:szCs w:val="32"/>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344" w:firstLine="0"/>
        <w:jc w:val="center"/>
        <w:rPr>
          <w:b w:val="1"/>
          <w:sz w:val="32"/>
          <w:szCs w:val="32"/>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344" w:firstLine="0"/>
        <w:jc w:val="center"/>
        <w:rPr>
          <w:b w:val="1"/>
          <w:color w:val="000000"/>
          <w:sz w:val="28"/>
          <w:szCs w:val="28"/>
        </w:rPr>
      </w:pPr>
      <w:r w:rsidDel="00000000" w:rsidR="00000000" w:rsidRPr="00000000">
        <w:rPr>
          <w:b w:val="1"/>
          <w:sz w:val="28"/>
          <w:szCs w:val="28"/>
          <w:rtl w:val="0"/>
        </w:rPr>
        <w:t xml:space="preserve">Julio 2023</w:t>
      </w: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A">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Tabla de contenido</w:t>
      </w:r>
    </w:p>
    <w:p w:rsidR="00000000" w:rsidDel="00000000" w:rsidP="00000000" w:rsidRDefault="00000000" w:rsidRPr="00000000" w14:paraId="0000001C">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Descripción técnica de la plaga</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vl5zsoz28e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Denominación de la enfermedad</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z1gvqklcwh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Hospedantes / Especies afectadas</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Ciclo de la enfermedad</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1pkgi38mj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Transmisión y supervivencia</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ymrd8gt23p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Incidencia</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95f0q36gmu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Síntomas asociados a los distintos órganos y estadios fenológicos</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jgh2gxj6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 Comportamiento y distribución en los lotes</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1.3.5 Similitudes con otros patógenos</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2lqegkv8bp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Bibliografía</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sxi0roqkzt3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Anexo: Figuras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B">
      <w:pPr>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keepNext w:val="1"/>
        <w:keepLines w:val="1"/>
        <w:spacing w:after="200" w:before="480" w:lineRule="auto"/>
        <w:rPr>
          <w:sz w:val="28"/>
          <w:szCs w:val="28"/>
          <w:vertAlign w:val="baseline"/>
        </w:rPr>
      </w:pPr>
      <w:bookmarkStart w:colFirst="0" w:colLast="0" w:name="_heading=h.gjdgxs" w:id="0"/>
      <w:bookmarkEnd w:id="0"/>
      <w:r w:rsidDel="00000000" w:rsidR="00000000" w:rsidRPr="00000000">
        <w:rPr>
          <w:sz w:val="28"/>
          <w:szCs w:val="28"/>
          <w:vertAlign w:val="baseline"/>
          <w:rtl w:val="0"/>
        </w:rPr>
        <w:t xml:space="preserve">1. Descripción técnica de la plaga</w:t>
      </w:r>
    </w:p>
    <w:p w:rsidR="00000000" w:rsidDel="00000000" w:rsidP="00000000" w:rsidRDefault="00000000" w:rsidRPr="00000000" w14:paraId="0000002D">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vl5zsoz28eg" w:id="1"/>
      <w:bookmarkEnd w:id="1"/>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Denominación de la enfermedad</w:t>
      </w:r>
    </w:p>
    <w:p w:rsidR="00000000" w:rsidDel="00000000" w:rsidP="00000000" w:rsidRDefault="00000000" w:rsidRPr="00000000" w14:paraId="0000002E">
      <w:pPr>
        <w:rPr>
          <w:vertAlign w:val="baseline"/>
        </w:rPr>
      </w:pPr>
      <w:r w:rsidDel="00000000" w:rsidR="00000000" w:rsidRPr="00000000">
        <w:rPr>
          <w:rtl w:val="0"/>
        </w:rPr>
      </w:r>
    </w:p>
    <w:p w:rsidR="00000000" w:rsidDel="00000000" w:rsidP="00000000" w:rsidRDefault="00000000" w:rsidRPr="00000000" w14:paraId="0000002F">
      <w:pPr>
        <w:spacing w:after="200" w:line="276" w:lineRule="auto"/>
        <w:ind w:left="0" w:firstLine="0"/>
        <w:jc w:val="both"/>
        <w:rPr>
          <w:sz w:val="24"/>
          <w:szCs w:val="24"/>
        </w:rPr>
      </w:pPr>
      <w:r w:rsidDel="00000000" w:rsidR="00000000" w:rsidRPr="00000000">
        <w:rPr>
          <w:b w:val="1"/>
          <w:sz w:val="24"/>
          <w:szCs w:val="24"/>
          <w:rtl w:val="0"/>
        </w:rPr>
        <w:t xml:space="preserve">Español:</w:t>
      </w:r>
      <w:r w:rsidDel="00000000" w:rsidR="00000000" w:rsidRPr="00000000">
        <w:rPr>
          <w:sz w:val="24"/>
          <w:szCs w:val="24"/>
          <w:rtl w:val="0"/>
        </w:rPr>
        <w:t xml:space="preserve"> Marchitez tardía del maíz</w:t>
      </w:r>
    </w:p>
    <w:p w:rsidR="00000000" w:rsidDel="00000000" w:rsidP="00000000" w:rsidRDefault="00000000" w:rsidRPr="00000000" w14:paraId="00000030">
      <w:pPr>
        <w:spacing w:after="200" w:line="276" w:lineRule="auto"/>
        <w:ind w:left="0" w:firstLine="0"/>
        <w:jc w:val="both"/>
        <w:rPr>
          <w:sz w:val="24"/>
          <w:szCs w:val="24"/>
        </w:rPr>
      </w:pPr>
      <w:r w:rsidDel="00000000" w:rsidR="00000000" w:rsidRPr="00000000">
        <w:rPr>
          <w:b w:val="1"/>
          <w:sz w:val="24"/>
          <w:szCs w:val="24"/>
          <w:rtl w:val="0"/>
        </w:rPr>
        <w:t xml:space="preserve">Inglés:</w:t>
      </w:r>
      <w:r w:rsidDel="00000000" w:rsidR="00000000" w:rsidRPr="00000000">
        <w:rPr>
          <w:sz w:val="24"/>
          <w:szCs w:val="24"/>
          <w:rtl w:val="0"/>
        </w:rPr>
        <w:t xml:space="preserve"> Maize late wilt disease (LWD)</w:t>
      </w:r>
    </w:p>
    <w:p w:rsidR="00000000" w:rsidDel="00000000" w:rsidP="00000000" w:rsidRDefault="00000000" w:rsidRPr="00000000" w14:paraId="00000031">
      <w:pPr>
        <w:spacing w:after="200" w:line="276" w:lineRule="auto"/>
        <w:jc w:val="both"/>
        <w:rPr>
          <w:sz w:val="24"/>
          <w:szCs w:val="24"/>
        </w:rPr>
      </w:pPr>
      <w:r w:rsidDel="00000000" w:rsidR="00000000" w:rsidRPr="00000000">
        <w:rPr>
          <w:rtl w:val="0"/>
        </w:rPr>
      </w:r>
    </w:p>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1.1.1 Agente etiológico</w:t>
      </w:r>
    </w:p>
    <w:p w:rsidR="00000000" w:rsidDel="00000000" w:rsidP="00000000" w:rsidRDefault="00000000" w:rsidRPr="00000000" w14:paraId="00000033">
      <w:pPr>
        <w:spacing w:after="200" w:line="276" w:lineRule="auto"/>
        <w:jc w:val="both"/>
        <w:rPr>
          <w:b w:val="1"/>
          <w:sz w:val="24"/>
          <w:szCs w:val="24"/>
        </w:rPr>
      </w:pPr>
      <w:r w:rsidDel="00000000" w:rsidR="00000000" w:rsidRPr="00000000">
        <w:rPr>
          <w:b w:val="1"/>
          <w:sz w:val="24"/>
          <w:szCs w:val="24"/>
          <w:rtl w:val="0"/>
        </w:rPr>
        <w:t xml:space="preserve">Nombre preferido: </w:t>
      </w:r>
      <w:r w:rsidDel="00000000" w:rsidR="00000000" w:rsidRPr="00000000">
        <w:rPr>
          <w:i w:val="1"/>
          <w:sz w:val="24"/>
          <w:szCs w:val="24"/>
          <w:rtl w:val="0"/>
        </w:rPr>
        <w:t xml:space="preserve">Magnaporthiopsis maydis</w:t>
      </w:r>
      <w:r w:rsidDel="00000000" w:rsidR="00000000" w:rsidRPr="00000000">
        <w:rPr>
          <w:sz w:val="24"/>
          <w:szCs w:val="24"/>
          <w:rtl w:val="0"/>
        </w:rPr>
        <w:t xml:space="preserve"> (Samra, Sabet &amp; Hing.) Klaubauf, Lebrun &amp; Crous, 2014</w:t>
      </w:r>
      <w:r w:rsidDel="00000000" w:rsidR="00000000" w:rsidRPr="00000000">
        <w:rPr>
          <w:rtl w:val="0"/>
        </w:rPr>
      </w:r>
    </w:p>
    <w:p w:rsidR="00000000" w:rsidDel="00000000" w:rsidP="00000000" w:rsidRDefault="00000000" w:rsidRPr="00000000" w14:paraId="00000034">
      <w:pPr>
        <w:spacing w:after="0" w:line="276" w:lineRule="auto"/>
        <w:jc w:val="both"/>
        <w:rPr>
          <w:sz w:val="24"/>
          <w:szCs w:val="24"/>
        </w:rPr>
      </w:pPr>
      <w:r w:rsidDel="00000000" w:rsidR="00000000" w:rsidRPr="00000000">
        <w:rPr>
          <w:b w:val="1"/>
          <w:sz w:val="24"/>
          <w:szCs w:val="24"/>
          <w:rtl w:val="0"/>
        </w:rPr>
        <w:t xml:space="preserve">Sinonimia:</w:t>
      </w:r>
      <w:r w:rsidDel="00000000" w:rsidR="00000000" w:rsidRPr="00000000">
        <w:rPr>
          <w:sz w:val="24"/>
          <w:szCs w:val="24"/>
          <w:rtl w:val="0"/>
        </w:rPr>
        <w:t xml:space="preserve"> </w:t>
        <w:tab/>
      </w:r>
      <w:r w:rsidDel="00000000" w:rsidR="00000000" w:rsidRPr="00000000">
        <w:rPr>
          <w:i w:val="1"/>
          <w:sz w:val="24"/>
          <w:szCs w:val="24"/>
          <w:rtl w:val="0"/>
        </w:rPr>
        <w:t xml:space="preserve">Cephalosporium maydis </w:t>
      </w:r>
      <w:r w:rsidDel="00000000" w:rsidR="00000000" w:rsidRPr="00000000">
        <w:rPr>
          <w:sz w:val="24"/>
          <w:szCs w:val="24"/>
          <w:rtl w:val="0"/>
        </w:rPr>
        <w:t xml:space="preserve">Samra Sabet &amp; Hing</w:t>
      </w:r>
    </w:p>
    <w:p w:rsidR="00000000" w:rsidDel="00000000" w:rsidP="00000000" w:rsidRDefault="00000000" w:rsidRPr="00000000" w14:paraId="00000035">
      <w:pPr>
        <w:spacing w:after="200" w:line="276" w:lineRule="auto"/>
        <w:jc w:val="both"/>
        <w:rPr>
          <w:sz w:val="24"/>
          <w:szCs w:val="24"/>
        </w:rPr>
      </w:pPr>
      <w:r w:rsidDel="00000000" w:rsidR="00000000" w:rsidRPr="00000000">
        <w:rPr>
          <w:i w:val="1"/>
          <w:sz w:val="24"/>
          <w:szCs w:val="24"/>
          <w:rtl w:val="0"/>
        </w:rPr>
        <w:t xml:space="preserve">  </w:t>
        <w:tab/>
        <w:tab/>
        <w:t xml:space="preserve">Harpophora maydis </w:t>
      </w:r>
      <w:r w:rsidDel="00000000" w:rsidR="00000000" w:rsidRPr="00000000">
        <w:rPr>
          <w:sz w:val="24"/>
          <w:szCs w:val="24"/>
          <w:rtl w:val="0"/>
        </w:rPr>
        <w:t xml:space="preserve">(Samra, Sabet &amp; Hing.) W. Gams</w:t>
      </w:r>
    </w:p>
    <w:p w:rsidR="00000000" w:rsidDel="00000000" w:rsidP="00000000" w:rsidRDefault="00000000" w:rsidRPr="00000000" w14:paraId="00000036">
      <w:pPr>
        <w:spacing w:after="200" w:line="276" w:lineRule="auto"/>
        <w:jc w:val="both"/>
        <w:rPr>
          <w:b w:val="1"/>
          <w:sz w:val="24"/>
          <w:szCs w:val="24"/>
        </w:rPr>
      </w:pPr>
      <w:r w:rsidDel="00000000" w:rsidR="00000000" w:rsidRPr="00000000">
        <w:rPr>
          <w:b w:val="1"/>
          <w:sz w:val="24"/>
          <w:szCs w:val="24"/>
          <w:rtl w:val="0"/>
        </w:rPr>
        <w:t xml:space="preserve">Categorización taxonómica: </w:t>
      </w:r>
    </w:p>
    <w:p w:rsidR="00000000" w:rsidDel="00000000" w:rsidP="00000000" w:rsidRDefault="00000000" w:rsidRPr="00000000" w14:paraId="00000037">
      <w:pPr>
        <w:spacing w:after="0" w:line="276" w:lineRule="auto"/>
        <w:jc w:val="both"/>
        <w:rPr>
          <w:sz w:val="24"/>
          <w:szCs w:val="24"/>
        </w:rPr>
      </w:pPr>
      <w:r w:rsidDel="00000000" w:rsidR="00000000" w:rsidRPr="00000000">
        <w:rPr>
          <w:b w:val="1"/>
          <w:sz w:val="24"/>
          <w:szCs w:val="24"/>
          <w:rtl w:val="0"/>
        </w:rPr>
        <w:t xml:space="preserve">Clase:</w:t>
      </w:r>
      <w:r w:rsidDel="00000000" w:rsidR="00000000" w:rsidRPr="00000000">
        <w:rPr>
          <w:sz w:val="24"/>
          <w:szCs w:val="24"/>
          <w:rtl w:val="0"/>
        </w:rPr>
        <w:t xml:space="preserve"> </w:t>
        <w:tab/>
        <w:t xml:space="preserve">Sordariomycetes</w:t>
      </w:r>
    </w:p>
    <w:p w:rsidR="00000000" w:rsidDel="00000000" w:rsidP="00000000" w:rsidRDefault="00000000" w:rsidRPr="00000000" w14:paraId="00000038">
      <w:pPr>
        <w:spacing w:after="0" w:line="276" w:lineRule="auto"/>
        <w:jc w:val="both"/>
        <w:rPr>
          <w:sz w:val="24"/>
          <w:szCs w:val="24"/>
        </w:rPr>
      </w:pPr>
      <w:r w:rsidDel="00000000" w:rsidR="00000000" w:rsidRPr="00000000">
        <w:rPr>
          <w:b w:val="1"/>
          <w:sz w:val="24"/>
          <w:szCs w:val="24"/>
          <w:rtl w:val="0"/>
        </w:rPr>
        <w:t xml:space="preserve">Orden:</w:t>
      </w:r>
      <w:r w:rsidDel="00000000" w:rsidR="00000000" w:rsidRPr="00000000">
        <w:rPr>
          <w:sz w:val="24"/>
          <w:szCs w:val="24"/>
          <w:rtl w:val="0"/>
        </w:rPr>
        <w:t xml:space="preserve"> </w:t>
        <w:tab/>
        <w:t xml:space="preserve">Magnaporthales</w:t>
      </w:r>
    </w:p>
    <w:p w:rsidR="00000000" w:rsidDel="00000000" w:rsidP="00000000" w:rsidRDefault="00000000" w:rsidRPr="00000000" w14:paraId="00000039">
      <w:pPr>
        <w:spacing w:after="0" w:line="276" w:lineRule="auto"/>
        <w:jc w:val="both"/>
        <w:rPr>
          <w:sz w:val="24"/>
          <w:szCs w:val="24"/>
        </w:rPr>
      </w:pPr>
      <w:r w:rsidDel="00000000" w:rsidR="00000000" w:rsidRPr="00000000">
        <w:rPr>
          <w:b w:val="1"/>
          <w:sz w:val="24"/>
          <w:szCs w:val="24"/>
          <w:rtl w:val="0"/>
        </w:rPr>
        <w:t xml:space="preserve">Familia:</w:t>
      </w:r>
      <w:r w:rsidDel="00000000" w:rsidR="00000000" w:rsidRPr="00000000">
        <w:rPr>
          <w:sz w:val="24"/>
          <w:szCs w:val="24"/>
          <w:rtl w:val="0"/>
        </w:rPr>
        <w:t xml:space="preserve"> </w:t>
        <w:tab/>
        <w:t xml:space="preserve">Magnaporthaceae</w:t>
      </w:r>
    </w:p>
    <w:p w:rsidR="00000000" w:rsidDel="00000000" w:rsidP="00000000" w:rsidRDefault="00000000" w:rsidRPr="00000000" w14:paraId="0000003A">
      <w:pPr>
        <w:spacing w:after="0" w:line="276" w:lineRule="auto"/>
        <w:jc w:val="both"/>
        <w:rPr>
          <w:i w:val="1"/>
          <w:sz w:val="24"/>
          <w:szCs w:val="24"/>
        </w:rPr>
      </w:pPr>
      <w:r w:rsidDel="00000000" w:rsidR="00000000" w:rsidRPr="00000000">
        <w:rPr>
          <w:b w:val="1"/>
          <w:sz w:val="24"/>
          <w:szCs w:val="24"/>
          <w:rtl w:val="0"/>
        </w:rPr>
        <w:t xml:space="preserve">Género: </w:t>
        <w:tab/>
      </w:r>
      <w:r w:rsidDel="00000000" w:rsidR="00000000" w:rsidRPr="00000000">
        <w:rPr>
          <w:i w:val="1"/>
          <w:sz w:val="24"/>
          <w:szCs w:val="24"/>
          <w:rtl w:val="0"/>
        </w:rPr>
        <w:t xml:space="preserve">Magnaporthiopsis</w:t>
      </w:r>
    </w:p>
    <w:p w:rsidR="00000000" w:rsidDel="00000000" w:rsidP="00000000" w:rsidRDefault="00000000" w:rsidRPr="00000000" w14:paraId="0000003B">
      <w:pPr>
        <w:spacing w:after="0" w:line="276" w:lineRule="auto"/>
        <w:jc w:val="both"/>
        <w:rPr>
          <w:i w:val="1"/>
          <w:sz w:val="24"/>
          <w:szCs w:val="24"/>
        </w:rPr>
      </w:pPr>
      <w:r w:rsidDel="00000000" w:rsidR="00000000" w:rsidRPr="00000000">
        <w:rPr>
          <w:b w:val="1"/>
          <w:sz w:val="24"/>
          <w:szCs w:val="24"/>
          <w:rtl w:val="0"/>
        </w:rPr>
        <w:t xml:space="preserve">Especie:</w:t>
      </w:r>
      <w:r w:rsidDel="00000000" w:rsidR="00000000" w:rsidRPr="00000000">
        <w:rPr>
          <w:i w:val="1"/>
          <w:sz w:val="24"/>
          <w:szCs w:val="24"/>
          <w:rtl w:val="0"/>
        </w:rPr>
        <w:t xml:space="preserve"> </w:t>
        <w:tab/>
        <w:t xml:space="preserve">Magnaporthiopsis maydis</w:t>
      </w:r>
    </w:p>
    <w:p w:rsidR="00000000" w:rsidDel="00000000" w:rsidP="00000000" w:rsidRDefault="00000000" w:rsidRPr="00000000" w14:paraId="0000003C">
      <w:pPr>
        <w:spacing w:after="0" w:line="276" w:lineRule="auto"/>
        <w:jc w:val="both"/>
        <w:rPr>
          <w:i w:val="1"/>
          <w:sz w:val="24"/>
          <w:szCs w:val="24"/>
        </w:rPr>
      </w:pPr>
      <w:r w:rsidDel="00000000" w:rsidR="00000000" w:rsidRPr="00000000">
        <w:rPr>
          <w:rtl w:val="0"/>
        </w:rPr>
      </w:r>
    </w:p>
    <w:p w:rsidR="00000000" w:rsidDel="00000000" w:rsidP="00000000" w:rsidRDefault="00000000" w:rsidRPr="00000000" w14:paraId="0000003D">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dz1gvqklcwhd" w:id="3"/>
      <w:bookmarkEnd w:id="3"/>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Hospedantes / Especies afectadas</w:t>
      </w:r>
    </w:p>
    <w:p w:rsidR="00000000" w:rsidDel="00000000" w:rsidP="00000000" w:rsidRDefault="00000000" w:rsidRPr="00000000" w14:paraId="0000003E">
      <w:pPr>
        <w:spacing w:after="200" w:line="276" w:lineRule="auto"/>
        <w:jc w:val="both"/>
        <w:rPr>
          <w:sz w:val="24"/>
          <w:szCs w:val="24"/>
        </w:rPr>
      </w:pPr>
      <w:r w:rsidDel="00000000" w:rsidR="00000000" w:rsidRPr="00000000">
        <w:rPr>
          <w:i w:val="1"/>
          <w:sz w:val="24"/>
          <w:szCs w:val="24"/>
          <w:rtl w:val="0"/>
        </w:rPr>
        <w:t xml:space="preserve">Zea mays </w:t>
      </w:r>
      <w:r w:rsidDel="00000000" w:rsidR="00000000" w:rsidRPr="00000000">
        <w:rPr>
          <w:sz w:val="24"/>
          <w:szCs w:val="24"/>
          <w:rtl w:val="0"/>
        </w:rPr>
        <w:t xml:space="preserve">es el principal hospedante (CAB International, 2021).</w:t>
      </w:r>
    </w:p>
    <w:p w:rsidR="00000000" w:rsidDel="00000000" w:rsidP="00000000" w:rsidRDefault="00000000" w:rsidRPr="00000000" w14:paraId="0000003F">
      <w:pPr>
        <w:spacing w:after="200" w:line="276" w:lineRule="auto"/>
        <w:jc w:val="both"/>
        <w:rPr>
          <w:i w:val="1"/>
          <w:sz w:val="24"/>
          <w:szCs w:val="24"/>
        </w:rPr>
      </w:pPr>
      <w:r w:rsidDel="00000000" w:rsidR="00000000" w:rsidRPr="00000000">
        <w:rPr>
          <w:sz w:val="24"/>
          <w:szCs w:val="24"/>
          <w:rtl w:val="0"/>
        </w:rPr>
        <w:t xml:space="preserve">Hospedantes secundarios (</w:t>
      </w:r>
      <w:r w:rsidDel="00000000" w:rsidR="00000000" w:rsidRPr="00000000">
        <w:rPr>
          <w:sz w:val="24"/>
          <w:szCs w:val="24"/>
          <w:highlight w:val="white"/>
          <w:rtl w:val="0"/>
        </w:rPr>
        <w:t xml:space="preserve">Dor, S., Degani, O., 2019; Degani, O., 2021)</w:t>
      </w:r>
      <w:r w:rsidDel="00000000" w:rsidR="00000000" w:rsidRPr="00000000">
        <w:rPr>
          <w:sz w:val="24"/>
          <w:szCs w:val="24"/>
          <w:rtl w:val="0"/>
        </w:rPr>
        <w:t xml:space="preserve">:</w:t>
      </w:r>
      <w:r w:rsidDel="00000000" w:rsidR="00000000" w:rsidRPr="00000000">
        <w:rPr>
          <w:i w:val="1"/>
          <w:sz w:val="24"/>
          <w:szCs w:val="24"/>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sz w:val="24"/>
          <w:szCs w:val="24"/>
        </w:rPr>
      </w:pPr>
      <w:r w:rsidDel="00000000" w:rsidR="00000000" w:rsidRPr="00000000">
        <w:rPr>
          <w:i w:val="1"/>
          <w:sz w:val="24"/>
          <w:szCs w:val="24"/>
          <w:rtl w:val="0"/>
        </w:rPr>
        <w:t xml:space="preserve">Setaria viridis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sz w:val="24"/>
          <w:szCs w:val="24"/>
        </w:rPr>
      </w:pPr>
      <w:r w:rsidDel="00000000" w:rsidR="00000000" w:rsidRPr="00000000">
        <w:rPr>
          <w:i w:val="1"/>
          <w:sz w:val="24"/>
          <w:szCs w:val="24"/>
          <w:rtl w:val="0"/>
        </w:rPr>
        <w:t xml:space="preserve">Gossypium hirsutum</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sz w:val="24"/>
          <w:szCs w:val="24"/>
        </w:rPr>
      </w:pPr>
      <w:r w:rsidDel="00000000" w:rsidR="00000000" w:rsidRPr="00000000">
        <w:rPr>
          <w:i w:val="1"/>
          <w:sz w:val="24"/>
          <w:szCs w:val="24"/>
          <w:rtl w:val="0"/>
        </w:rPr>
        <w:t xml:space="preserve">Citrullus lanatus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sz w:val="24"/>
          <w:szCs w:val="24"/>
        </w:rPr>
      </w:pPr>
      <w:r w:rsidDel="00000000" w:rsidR="00000000" w:rsidRPr="00000000">
        <w:rPr>
          <w:i w:val="1"/>
          <w:sz w:val="24"/>
          <w:szCs w:val="24"/>
          <w:rtl w:val="0"/>
        </w:rPr>
        <w:t xml:space="preserve">Lupinus termis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spacing w:after="20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045">
      <w:pPr>
        <w:pStyle w:val="Heading2"/>
        <w:keepNext w:val="1"/>
        <w:keepLines w:val="1"/>
        <w:spacing w:after="200" w:before="360" w:line="240" w:lineRule="auto"/>
        <w:rPr>
          <w:sz w:val="24"/>
          <w:szCs w:val="24"/>
          <w:vertAlign w:val="baseline"/>
        </w:rPr>
      </w:pPr>
      <w:bookmarkStart w:colFirst="0" w:colLast="0" w:name="_heading=h.2et92p0" w:id="4"/>
      <w:bookmarkEnd w:id="4"/>
      <w:r w:rsidDel="00000000" w:rsidR="00000000" w:rsidRPr="00000000">
        <w:rPr>
          <w:sz w:val="24"/>
          <w:szCs w:val="24"/>
          <w:vertAlign w:val="baseline"/>
          <w:rtl w:val="0"/>
        </w:rPr>
        <w:t xml:space="preserve">1.3 Ciclo de la enfermedad</w:t>
      </w:r>
    </w:p>
    <w:p w:rsidR="00000000" w:rsidDel="00000000" w:rsidP="00000000" w:rsidRDefault="00000000" w:rsidRPr="00000000" w14:paraId="00000046">
      <w:pPr>
        <w:spacing w:after="200" w:line="240" w:lineRule="auto"/>
        <w:ind w:firstLine="720"/>
        <w:jc w:val="both"/>
        <w:rPr>
          <w:sz w:val="24"/>
          <w:szCs w:val="24"/>
        </w:rPr>
      </w:pPr>
      <w:r w:rsidDel="00000000" w:rsidR="00000000" w:rsidRPr="00000000">
        <w:rPr>
          <w:sz w:val="24"/>
          <w:szCs w:val="24"/>
          <w:rtl w:val="0"/>
        </w:rPr>
        <w:t xml:space="preserve">El ciclo de </w:t>
      </w:r>
      <w:r w:rsidDel="00000000" w:rsidR="00000000" w:rsidRPr="00000000">
        <w:rPr>
          <w:i w:val="1"/>
          <w:sz w:val="24"/>
          <w:szCs w:val="24"/>
          <w:rtl w:val="0"/>
        </w:rPr>
        <w:t xml:space="preserve">Magnaporthiopsis maydis</w:t>
      </w:r>
      <w:r w:rsidDel="00000000" w:rsidR="00000000" w:rsidRPr="00000000">
        <w:rPr>
          <w:sz w:val="24"/>
          <w:szCs w:val="24"/>
          <w:rtl w:val="0"/>
        </w:rPr>
        <w:t xml:space="preserve"> está bien documentado. El patógeno infecta al maíz y, además de poder sobrevivir en el suelo, también puede tener hospedantes secundarios como </w:t>
      </w:r>
      <w:r w:rsidDel="00000000" w:rsidR="00000000" w:rsidRPr="00000000">
        <w:rPr>
          <w:i w:val="1"/>
          <w:sz w:val="24"/>
          <w:szCs w:val="24"/>
          <w:rtl w:val="0"/>
        </w:rPr>
        <w:t xml:space="preserve">Setaria viridis, Gossypium hirsutum, Citrullus lanatus </w:t>
      </w:r>
      <w:r w:rsidDel="00000000" w:rsidR="00000000" w:rsidRPr="00000000">
        <w:rPr>
          <w:sz w:val="24"/>
          <w:szCs w:val="24"/>
          <w:rtl w:val="0"/>
        </w:rPr>
        <w:t xml:space="preserve">y </w:t>
      </w:r>
      <w:r w:rsidDel="00000000" w:rsidR="00000000" w:rsidRPr="00000000">
        <w:rPr>
          <w:i w:val="1"/>
          <w:sz w:val="24"/>
          <w:szCs w:val="24"/>
          <w:rtl w:val="0"/>
        </w:rPr>
        <w:t xml:space="preserve">Lupinus termis</w:t>
      </w:r>
      <w:r w:rsidDel="00000000" w:rsidR="00000000" w:rsidRPr="00000000">
        <w:rPr>
          <w:sz w:val="24"/>
          <w:szCs w:val="24"/>
          <w:rtl w:val="0"/>
        </w:rPr>
        <w:t xml:space="preserve">.</w:t>
      </w:r>
    </w:p>
    <w:p w:rsidR="00000000" w:rsidDel="00000000" w:rsidP="00000000" w:rsidRDefault="00000000" w:rsidRPr="00000000" w14:paraId="00000047">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48">
      <w:pPr>
        <w:spacing w:after="200" w:line="240" w:lineRule="auto"/>
        <w:ind w:firstLine="720"/>
        <w:jc w:val="both"/>
        <w:rPr>
          <w:sz w:val="24"/>
          <w:szCs w:val="24"/>
        </w:rPr>
      </w:pPr>
      <w:r w:rsidDel="00000000" w:rsidR="00000000" w:rsidRPr="00000000">
        <w:rPr>
          <w:sz w:val="24"/>
          <w:szCs w:val="24"/>
          <w:rtl w:val="0"/>
        </w:rPr>
        <w:t xml:space="preserve">Según Sabet </w:t>
      </w:r>
      <w:r w:rsidDel="00000000" w:rsidR="00000000" w:rsidRPr="00000000">
        <w:rPr>
          <w:i w:val="1"/>
          <w:sz w:val="24"/>
          <w:szCs w:val="24"/>
          <w:rtl w:val="0"/>
        </w:rPr>
        <w:t xml:space="preserve">et al.</w:t>
      </w:r>
      <w:r w:rsidDel="00000000" w:rsidR="00000000" w:rsidRPr="00000000">
        <w:rPr>
          <w:sz w:val="24"/>
          <w:szCs w:val="24"/>
          <w:rtl w:val="0"/>
        </w:rPr>
        <w:t xml:space="preserve"> (1970a) la infección ocurre durante las tres primeras semanas de crecimiento.</w:t>
      </w:r>
    </w:p>
    <w:p w:rsidR="00000000" w:rsidDel="00000000" w:rsidP="00000000" w:rsidRDefault="00000000" w:rsidRPr="00000000" w14:paraId="00000049">
      <w:pPr>
        <w:spacing w:after="200" w:line="240" w:lineRule="auto"/>
        <w:jc w:val="both"/>
        <w:rPr>
          <w:sz w:val="24"/>
          <w:szCs w:val="24"/>
        </w:rPr>
      </w:pPr>
      <w:r w:rsidDel="00000000" w:rsidR="00000000" w:rsidRPr="00000000">
        <w:rPr>
          <w:sz w:val="24"/>
          <w:szCs w:val="24"/>
          <w:rtl w:val="0"/>
        </w:rPr>
        <w:tab/>
        <w:t xml:space="preserve">De acuerdo con DeganiI, O., 2021, citando otros papers, el patógeno infecta fácilmente los brotes de maíz. En el mismo trabajo, se refiere que el hongo penetró en las raíces y fue identificado por primera vez en el xilema, 21 días después de la siembra. En el día 35 después de la siembra, el patógeno llega al primer entrenudo del tallo. A los 49 días, </w:t>
      </w:r>
      <w:r w:rsidDel="00000000" w:rsidR="00000000" w:rsidRPr="00000000">
        <w:rPr>
          <w:i w:val="1"/>
          <w:sz w:val="24"/>
          <w:szCs w:val="24"/>
          <w:rtl w:val="0"/>
        </w:rPr>
        <w:t xml:space="preserve">M. maydis</w:t>
      </w:r>
      <w:r w:rsidDel="00000000" w:rsidR="00000000" w:rsidRPr="00000000">
        <w:rPr>
          <w:sz w:val="24"/>
          <w:szCs w:val="24"/>
          <w:rtl w:val="0"/>
        </w:rPr>
        <w:t xml:space="preserve"> se extendió al cuarto entrenudo. En esa etapa (50 días posterior a la siembra), se midieron cantidades relativamente bajas pero identificables de DNA fúngico mediante PCR en varias partes de la planta. Cuando emergieron las panojas de maíz por primera vez (día 63), el hongo se encontró a lo largo del tallo, aunque había menor concentración del hongo hacia las partes superiores de la planta. Los niveles de DNA de </w:t>
      </w:r>
      <w:r w:rsidDel="00000000" w:rsidR="00000000" w:rsidRPr="00000000">
        <w:rPr>
          <w:i w:val="1"/>
          <w:sz w:val="24"/>
          <w:szCs w:val="24"/>
          <w:rtl w:val="0"/>
        </w:rPr>
        <w:t xml:space="preserve">M. maydis </w:t>
      </w:r>
      <w:r w:rsidDel="00000000" w:rsidR="00000000" w:rsidRPr="00000000">
        <w:rPr>
          <w:sz w:val="24"/>
          <w:szCs w:val="24"/>
          <w:rtl w:val="0"/>
        </w:rPr>
        <w:t xml:space="preserve">alcanzaron su punto máximo en los tallos a esta edad de la planta y los primeros síntomas de la enfermedad aparecieron poco después. En la última etapa de la enfermedad cerca de la cosecha (75–85 en cultivares dulces), el hongo se puede aislar tradicionalmente de las mazorcas o identificarse con mayor sensibilidad usando PCR (Figura 1).</w:t>
      </w:r>
    </w:p>
    <w:p w:rsidR="00000000" w:rsidDel="00000000" w:rsidP="00000000" w:rsidRDefault="00000000" w:rsidRPr="00000000" w14:paraId="0000004A">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4B">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1pkgi38mjmb" w:id="5"/>
      <w:bookmarkEnd w:id="5"/>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Transmisión y supervivencia</w:t>
      </w:r>
    </w:p>
    <w:p w:rsidR="00000000" w:rsidDel="00000000" w:rsidP="00000000" w:rsidRDefault="00000000" w:rsidRPr="00000000" w14:paraId="0000004C">
      <w:pPr>
        <w:spacing w:after="200" w:line="240" w:lineRule="auto"/>
        <w:ind w:firstLine="720"/>
        <w:jc w:val="both"/>
        <w:rPr>
          <w:color w:val="000000"/>
          <w:sz w:val="24"/>
          <w:szCs w:val="24"/>
        </w:rPr>
      </w:pPr>
      <w:r w:rsidDel="00000000" w:rsidR="00000000" w:rsidRPr="00000000">
        <w:rPr>
          <w:color w:val="000000"/>
          <w:sz w:val="24"/>
          <w:szCs w:val="24"/>
          <w:rtl w:val="0"/>
        </w:rPr>
        <w:t xml:space="preserve">La marchitez tardía del maíz, es una enfermedad vascular causada por </w:t>
      </w:r>
      <w:r w:rsidDel="00000000" w:rsidR="00000000" w:rsidRPr="00000000">
        <w:rPr>
          <w:i w:val="1"/>
          <w:color w:val="000000"/>
          <w:sz w:val="24"/>
          <w:szCs w:val="24"/>
          <w:rtl w:val="0"/>
        </w:rPr>
        <w:t xml:space="preserve">Magnaporthiopsis maydis</w:t>
      </w:r>
      <w:r w:rsidDel="00000000" w:rsidR="00000000" w:rsidRPr="00000000">
        <w:rPr>
          <w:color w:val="000000"/>
          <w:sz w:val="24"/>
          <w:szCs w:val="24"/>
          <w:rtl w:val="0"/>
        </w:rPr>
        <w:t xml:space="preserve">. Este hongo sobrevive en el suelo y en las semillas e infecta las raíces de las plántulas, invadiendo los vasos del xilema y traslocándose desde éstas hacia el tallo e incluso hasta el grano (Sabet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1970b), originando en algunos casos su pudrición (Khokhar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2014). El crecimiento inicial del hongo en las raíces, causa células hinchadas, cortas, marrones y de paredes gruesas (Sabet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1970b).</w:t>
      </w:r>
    </w:p>
    <w:p w:rsidR="00000000" w:rsidDel="00000000" w:rsidP="00000000" w:rsidRDefault="00000000" w:rsidRPr="00000000" w14:paraId="0000004D">
      <w:pPr>
        <w:spacing w:after="200" w:line="240" w:lineRule="auto"/>
        <w:ind w:firstLine="720"/>
        <w:jc w:val="both"/>
        <w:rPr>
          <w:color w:val="000000"/>
          <w:sz w:val="24"/>
          <w:szCs w:val="24"/>
        </w:rPr>
      </w:pPr>
      <w:r w:rsidDel="00000000" w:rsidR="00000000" w:rsidRPr="00000000">
        <w:rPr>
          <w:color w:val="000000"/>
          <w:sz w:val="24"/>
          <w:szCs w:val="24"/>
          <w:rtl w:val="0"/>
        </w:rPr>
        <w:t xml:space="preserve">Ensayos realizados por Sabet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(1970a) demostraron que</w:t>
      </w:r>
      <w:r w:rsidDel="00000000" w:rsidR="00000000" w:rsidRPr="00000000">
        <w:rPr>
          <w:i w:val="1"/>
          <w:color w:val="000000"/>
          <w:sz w:val="24"/>
          <w:szCs w:val="24"/>
          <w:rtl w:val="0"/>
        </w:rPr>
        <w:t xml:space="preserve"> Magnaporthiopsis maydis </w:t>
      </w:r>
      <w:r w:rsidDel="00000000" w:rsidR="00000000" w:rsidRPr="00000000">
        <w:rPr>
          <w:color w:val="000000"/>
          <w:sz w:val="24"/>
          <w:szCs w:val="24"/>
          <w:rtl w:val="0"/>
        </w:rPr>
        <w:t xml:space="preserve">tiene una baja capacidad saprofítica competitiva en el suelo y es inhibida por el crecimiento de otros microorganismos del suelo.</w:t>
      </w:r>
    </w:p>
    <w:p w:rsidR="00000000" w:rsidDel="00000000" w:rsidP="00000000" w:rsidRDefault="00000000" w:rsidRPr="00000000" w14:paraId="0000004E">
      <w:pPr>
        <w:spacing w:after="200" w:line="240" w:lineRule="auto"/>
        <w:ind w:firstLine="720"/>
        <w:jc w:val="both"/>
        <w:rPr>
          <w:color w:val="000000"/>
          <w:sz w:val="24"/>
          <w:szCs w:val="24"/>
        </w:rPr>
      </w:pPr>
      <w:r w:rsidDel="00000000" w:rsidR="00000000" w:rsidRPr="00000000">
        <w:rPr>
          <w:color w:val="000000"/>
          <w:sz w:val="24"/>
          <w:szCs w:val="24"/>
          <w:rtl w:val="0"/>
        </w:rPr>
        <w:t xml:space="preserve">Singh y Siradhana (1988), determinaron que el micelio de este hongo cuando fue inoculado en un suelo en condiciones naturales, sobrevivió hasta un mes y medio, mientras que cuando se inoculó en un suelo estéril, sobrevivió hasta 3 meses.</w:t>
      </w:r>
    </w:p>
    <w:p w:rsidR="00000000" w:rsidDel="00000000" w:rsidP="00000000" w:rsidRDefault="00000000" w:rsidRPr="00000000" w14:paraId="0000004F">
      <w:pPr>
        <w:spacing w:after="200" w:line="240" w:lineRule="auto"/>
        <w:ind w:firstLine="720"/>
        <w:jc w:val="both"/>
        <w:rPr>
          <w:color w:val="000000"/>
          <w:sz w:val="24"/>
          <w:szCs w:val="24"/>
        </w:rPr>
      </w:pPr>
      <w:r w:rsidDel="00000000" w:rsidR="00000000" w:rsidRPr="00000000">
        <w:rPr>
          <w:color w:val="000000"/>
          <w:sz w:val="24"/>
          <w:szCs w:val="24"/>
          <w:rtl w:val="0"/>
        </w:rPr>
        <w:t xml:space="preserve">En el suelo, las principales estructuras de supervivencia de </w:t>
      </w:r>
      <w:r w:rsidDel="00000000" w:rsidR="00000000" w:rsidRPr="00000000">
        <w:rPr>
          <w:i w:val="1"/>
          <w:color w:val="000000"/>
          <w:sz w:val="24"/>
          <w:szCs w:val="24"/>
          <w:rtl w:val="0"/>
        </w:rPr>
        <w:t xml:space="preserve">Harpophora maydis</w:t>
      </w:r>
      <w:r w:rsidDel="00000000" w:rsidR="00000000" w:rsidRPr="00000000">
        <w:rPr>
          <w:color w:val="000000"/>
          <w:sz w:val="24"/>
          <w:szCs w:val="24"/>
          <w:rtl w:val="0"/>
        </w:rPr>
        <w:t xml:space="preserve">, los esclerocios, pueden permanecer viables hasta 10 meses a altas temperaturas (Singh y Siradhana, 1987a). En los restos vegetales los esclerocios pueden mantener su viabilidad entre 12 y 15 meses (Singh y Siradhana, 1987b). Además, la persistencia del inóculo se localiza en los 20 primeros centímetros de suelo (Sabet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1970b).</w:t>
      </w:r>
    </w:p>
    <w:p w:rsidR="00000000" w:rsidDel="00000000" w:rsidP="00000000" w:rsidRDefault="00000000" w:rsidRPr="00000000" w14:paraId="00000050">
      <w:pPr>
        <w:spacing w:after="200" w:line="240" w:lineRule="auto"/>
        <w:ind w:firstLine="720"/>
        <w:jc w:val="both"/>
        <w:rPr>
          <w:color w:val="000000"/>
          <w:sz w:val="24"/>
          <w:szCs w:val="24"/>
        </w:rPr>
      </w:pPr>
      <w:r w:rsidDel="00000000" w:rsidR="00000000" w:rsidRPr="00000000">
        <w:rPr>
          <w:color w:val="000000"/>
          <w:sz w:val="24"/>
          <w:szCs w:val="24"/>
          <w:rtl w:val="0"/>
        </w:rPr>
        <w:t xml:space="preserve">Se comprobó que </w:t>
      </w:r>
      <w:r w:rsidDel="00000000" w:rsidR="00000000" w:rsidRPr="00000000">
        <w:rPr>
          <w:i w:val="1"/>
          <w:color w:val="000000"/>
          <w:sz w:val="24"/>
          <w:szCs w:val="24"/>
          <w:rtl w:val="0"/>
        </w:rPr>
        <w:t xml:space="preserve">Magnaporthiopsis maydis</w:t>
      </w:r>
      <w:r w:rsidDel="00000000" w:rsidR="00000000" w:rsidRPr="00000000">
        <w:rPr>
          <w:color w:val="000000"/>
          <w:sz w:val="24"/>
          <w:szCs w:val="24"/>
          <w:rtl w:val="0"/>
        </w:rPr>
        <w:t xml:space="preserve"> permanece viable y virulento en semilla, hasta por 10 meses en condiciones de laboratorio.</w:t>
      </w:r>
    </w:p>
    <w:p w:rsidR="00000000" w:rsidDel="00000000" w:rsidP="00000000" w:rsidRDefault="00000000" w:rsidRPr="00000000" w14:paraId="00000051">
      <w:pPr>
        <w:spacing w:after="200" w:line="240" w:lineRule="auto"/>
        <w:ind w:firstLine="720"/>
        <w:jc w:val="both"/>
        <w:rPr>
          <w:color w:val="000000"/>
          <w:sz w:val="24"/>
          <w:szCs w:val="24"/>
        </w:rPr>
      </w:pPr>
      <w:r w:rsidDel="00000000" w:rsidR="00000000" w:rsidRPr="00000000">
        <w:rPr>
          <w:color w:val="000000"/>
          <w:sz w:val="24"/>
          <w:szCs w:val="24"/>
          <w:rtl w:val="0"/>
        </w:rPr>
        <w:t xml:space="preserve">A nivel local, la dispersión se puede dar a través de los conidios, o movimiento de partes de la planta con estructuras reproductivas, como los picnidios en restos vegetales. </w:t>
      </w:r>
    </w:p>
    <w:p w:rsidR="00000000" w:rsidDel="00000000" w:rsidP="00000000" w:rsidRDefault="00000000" w:rsidRPr="00000000" w14:paraId="00000052">
      <w:pPr>
        <w:spacing w:after="200" w:line="240" w:lineRule="auto"/>
        <w:ind w:firstLine="720"/>
        <w:jc w:val="both"/>
        <w:rPr>
          <w:sz w:val="24"/>
          <w:szCs w:val="24"/>
        </w:rPr>
      </w:pPr>
      <w:r w:rsidDel="00000000" w:rsidR="00000000" w:rsidRPr="00000000">
        <w:rPr>
          <w:color w:val="000000"/>
          <w:sz w:val="24"/>
          <w:szCs w:val="24"/>
          <w:rtl w:val="0"/>
        </w:rPr>
        <w:t xml:space="preserve">A grandes distancias la dispersión se da a través de las semillas (Galarza Bazan, 2005). El micelio del hongo puede estar presente en el endosperma y en el embrión de las semillas de maíz (EPPO, 2020; CAB International, 2021).</w:t>
      </w:r>
      <w:r w:rsidDel="00000000" w:rsidR="00000000" w:rsidRPr="00000000">
        <w:rPr>
          <w:rtl w:val="0"/>
        </w:rPr>
      </w:r>
    </w:p>
    <w:p w:rsidR="00000000" w:rsidDel="00000000" w:rsidP="00000000" w:rsidRDefault="00000000" w:rsidRPr="00000000" w14:paraId="00000053">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54">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5ymrd8gt23p5" w:id="6"/>
      <w:bookmarkEnd w:id="6"/>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Incidencia</w:t>
      </w:r>
    </w:p>
    <w:p w:rsidR="00000000" w:rsidDel="00000000" w:rsidP="00000000" w:rsidRDefault="00000000" w:rsidRPr="00000000" w14:paraId="00000055">
      <w:pPr>
        <w:spacing w:after="200" w:line="240" w:lineRule="auto"/>
        <w:ind w:firstLine="720"/>
        <w:jc w:val="both"/>
        <w:rPr>
          <w:color w:val="000000"/>
          <w:sz w:val="24"/>
          <w:szCs w:val="24"/>
        </w:rPr>
      </w:pPr>
      <w:bookmarkStart w:colFirst="0" w:colLast="0" w:name="_heading=h.1t3h5sf" w:id="7"/>
      <w:bookmarkEnd w:id="7"/>
      <w:r w:rsidDel="00000000" w:rsidR="00000000" w:rsidRPr="00000000">
        <w:rPr>
          <w:color w:val="000000"/>
          <w:sz w:val="24"/>
          <w:szCs w:val="24"/>
          <w:rtl w:val="0"/>
        </w:rPr>
        <w:t xml:space="preserve">La incidencia y el desarrollo de la enfermedad se ven altamente influidos por factores abióticos tales como el riego. Así, en plantas sometidas a estrés hídrico se intensifica la severidad de la enfermedad (Abd El Rahim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1998).</w:t>
      </w:r>
    </w:p>
    <w:p w:rsidR="00000000" w:rsidDel="00000000" w:rsidP="00000000" w:rsidRDefault="00000000" w:rsidRPr="00000000" w14:paraId="00000056">
      <w:pPr>
        <w:spacing w:after="200" w:line="240" w:lineRule="auto"/>
        <w:ind w:firstLine="720"/>
        <w:jc w:val="both"/>
        <w:rPr>
          <w:color w:val="000000"/>
          <w:sz w:val="24"/>
          <w:szCs w:val="24"/>
        </w:rPr>
      </w:pPr>
      <w:r w:rsidDel="00000000" w:rsidR="00000000" w:rsidRPr="00000000">
        <w:rPr>
          <w:color w:val="000000"/>
          <w:sz w:val="24"/>
          <w:szCs w:val="24"/>
          <w:rtl w:val="0"/>
        </w:rPr>
        <w:t xml:space="preserve">Otros factores que predisponen la infección son la temperatura y pH del suelo. Así, valores de temperatura fuera del rango 20-32ºC </w:t>
      </w:r>
      <w:r w:rsidDel="00000000" w:rsidR="00000000" w:rsidRPr="00000000">
        <w:rPr>
          <w:sz w:val="24"/>
          <w:szCs w:val="24"/>
          <w:rtl w:val="0"/>
        </w:rPr>
        <w:t xml:space="preserve">y pH</w:t>
      </w:r>
      <w:r w:rsidDel="00000000" w:rsidR="00000000" w:rsidRPr="00000000">
        <w:rPr>
          <w:color w:val="000000"/>
          <w:sz w:val="24"/>
          <w:szCs w:val="24"/>
          <w:rtl w:val="0"/>
        </w:rPr>
        <w:t xml:space="preserve"> 4-8, dificultan la infección (Degani y Goldblat, 2014).</w:t>
      </w:r>
    </w:p>
    <w:p w:rsidR="00000000" w:rsidDel="00000000" w:rsidP="00000000" w:rsidRDefault="00000000" w:rsidRPr="00000000" w14:paraId="00000057">
      <w:pPr>
        <w:spacing w:after="200" w:line="240" w:lineRule="auto"/>
        <w:ind w:firstLine="720"/>
        <w:jc w:val="both"/>
        <w:rPr>
          <w:color w:val="000000"/>
          <w:sz w:val="24"/>
          <w:szCs w:val="24"/>
        </w:rPr>
      </w:pPr>
      <w:r w:rsidDel="00000000" w:rsidR="00000000" w:rsidRPr="00000000">
        <w:rPr>
          <w:color w:val="000000"/>
          <w:sz w:val="24"/>
          <w:szCs w:val="24"/>
          <w:rtl w:val="0"/>
        </w:rPr>
        <w:t xml:space="preserve">El máximo desarrollo de la enfermedad a campo, se produjo a una temperatura constante de 24 °C o en el rango de entre 20 a 32°C. Hubo menos desarrollo de la enfermedad a una temperatura constante de 36 °C (Singh y Siradhana, 1987a).</w:t>
      </w:r>
    </w:p>
    <w:p w:rsidR="00000000" w:rsidDel="00000000" w:rsidP="00000000" w:rsidRDefault="00000000" w:rsidRPr="00000000" w14:paraId="00000058">
      <w:pPr>
        <w:spacing w:after="200" w:line="240" w:lineRule="auto"/>
        <w:jc w:val="both"/>
        <w:rPr>
          <w:sz w:val="24"/>
          <w:szCs w:val="24"/>
        </w:rPr>
      </w:pPr>
      <w:r w:rsidDel="00000000" w:rsidR="00000000" w:rsidRPr="00000000">
        <w:rPr>
          <w:color w:val="000000"/>
          <w:sz w:val="24"/>
          <w:szCs w:val="24"/>
          <w:rtl w:val="0"/>
        </w:rPr>
        <w:t xml:space="preserve"> </w:t>
      </w:r>
      <w:r w:rsidDel="00000000" w:rsidR="00000000" w:rsidRPr="00000000">
        <w:rPr>
          <w:sz w:val="24"/>
          <w:szCs w:val="24"/>
          <w:rtl w:val="0"/>
        </w:rPr>
        <w:tab/>
      </w:r>
      <w:r w:rsidDel="00000000" w:rsidR="00000000" w:rsidRPr="00000000">
        <w:rPr>
          <w:color w:val="000000"/>
          <w:sz w:val="24"/>
          <w:szCs w:val="24"/>
          <w:rtl w:val="0"/>
        </w:rPr>
        <w:t xml:space="preserve">En laboratorio la temperatura óptima de crecimiento del hongo es de 30°C, con un máximo de 36 °C, no habiendo crecimiento a 8ºC (Samra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1963).</w:t>
      </w:r>
      <w:r w:rsidDel="00000000" w:rsidR="00000000" w:rsidRPr="00000000">
        <w:rPr>
          <w:rtl w:val="0"/>
        </w:rPr>
      </w:r>
    </w:p>
    <w:p w:rsidR="00000000" w:rsidDel="00000000" w:rsidP="00000000" w:rsidRDefault="00000000" w:rsidRPr="00000000" w14:paraId="00000059">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5A">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95f0q36gmu8" w:id="8"/>
      <w:bookmarkEnd w:id="8"/>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Síntomas asociados a los distintos órganos y estadios fenológicos</w:t>
      </w:r>
    </w:p>
    <w:p w:rsidR="00000000" w:rsidDel="00000000" w:rsidP="00000000" w:rsidRDefault="00000000" w:rsidRPr="00000000" w14:paraId="0000005B">
      <w:pPr>
        <w:spacing w:after="200" w:line="240" w:lineRule="auto"/>
        <w:ind w:firstLine="720"/>
        <w:jc w:val="both"/>
        <w:rPr>
          <w:color w:val="000000"/>
          <w:sz w:val="24"/>
          <w:szCs w:val="24"/>
        </w:rPr>
      </w:pPr>
      <w:r w:rsidDel="00000000" w:rsidR="00000000" w:rsidRPr="00000000">
        <w:rPr>
          <w:color w:val="000000"/>
          <w:sz w:val="24"/>
          <w:szCs w:val="24"/>
          <w:rtl w:val="0"/>
        </w:rPr>
        <w:t xml:space="preserve">Esta enfermedad aparece en fases avanzadas de desarrollo del cultivo, mostrando síntomas de marchitez en torno al período de floración, extendiéndose hasta el final del ciclo (Samra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1963). Como buen ejemplo de marchitez vascular, los síntomas son bastantes inespecíficos y se suelen distribuir en forma de rodales en los campos afectados.</w:t>
      </w:r>
    </w:p>
    <w:p w:rsidR="00000000" w:rsidDel="00000000" w:rsidP="00000000" w:rsidRDefault="00000000" w:rsidRPr="00000000" w14:paraId="0000005C">
      <w:pPr>
        <w:spacing w:after="200" w:line="240" w:lineRule="auto"/>
        <w:ind w:firstLine="720"/>
        <w:jc w:val="both"/>
        <w:rPr>
          <w:color w:val="000000"/>
          <w:sz w:val="24"/>
          <w:szCs w:val="24"/>
        </w:rPr>
      </w:pPr>
      <w:r w:rsidDel="00000000" w:rsidR="00000000" w:rsidRPr="00000000">
        <w:rPr>
          <w:color w:val="000000"/>
          <w:sz w:val="24"/>
          <w:szCs w:val="24"/>
          <w:rtl w:val="0"/>
        </w:rPr>
        <w:t xml:space="preserve">Inicialmente, las hojas inferiores comienzan a secarse desde el borde a la nervadura central y estos síntomas ascienden rápidamente hasta las hojas superiores. Con el progreso de la infección, se visualiza también un estriado color marrón rojizo en los entrenudos basales del tallo, que comienza a secarse, encogerse y, en consecuencia, a quebrarse. Además, las mazorcas desarrolladas presentan menor número de granos por hilera e incluso, en infecciones severas, no llegan a desarrollarse (Samra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1963) (Figura </w:t>
      </w:r>
      <w:r w:rsidDel="00000000" w:rsidR="00000000" w:rsidRPr="00000000">
        <w:rPr>
          <w:sz w:val="24"/>
          <w:szCs w:val="24"/>
          <w:rtl w:val="0"/>
        </w:rPr>
        <w:t xml:space="preserve">2</w:t>
      </w:r>
      <w:r w:rsidDel="00000000" w:rsidR="00000000" w:rsidRPr="00000000">
        <w:rPr>
          <w:color w:val="000000"/>
          <w:sz w:val="24"/>
          <w:szCs w:val="24"/>
          <w:rtl w:val="0"/>
        </w:rPr>
        <w:t xml:space="preserve">).</w:t>
      </w:r>
    </w:p>
    <w:p w:rsidR="00000000" w:rsidDel="00000000" w:rsidP="00000000" w:rsidRDefault="00000000" w:rsidRPr="00000000" w14:paraId="0000005D">
      <w:pPr>
        <w:spacing w:after="200" w:line="240" w:lineRule="auto"/>
        <w:ind w:firstLine="720"/>
        <w:jc w:val="both"/>
        <w:rPr>
          <w:color w:val="000000"/>
          <w:sz w:val="24"/>
          <w:szCs w:val="24"/>
        </w:rPr>
      </w:pPr>
      <w:r w:rsidDel="00000000" w:rsidR="00000000" w:rsidRPr="00000000">
        <w:rPr>
          <w:color w:val="000000"/>
          <w:sz w:val="24"/>
          <w:szCs w:val="24"/>
          <w:rtl w:val="0"/>
        </w:rPr>
        <w:t xml:space="preserve">El hongo infecta las plántulas de maíz durante el primer mes de crecimiento, y no se han detectado infecciones en plantas de más de 50 días (Sabet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1970a).</w:t>
      </w:r>
    </w:p>
    <w:p w:rsidR="00000000" w:rsidDel="00000000" w:rsidP="00000000" w:rsidRDefault="00000000" w:rsidRPr="00000000" w14:paraId="0000005E">
      <w:pPr>
        <w:spacing w:after="200" w:line="240" w:lineRule="auto"/>
        <w:ind w:firstLine="720"/>
        <w:jc w:val="both"/>
        <w:rPr>
          <w:color w:val="000000"/>
          <w:sz w:val="24"/>
          <w:szCs w:val="24"/>
        </w:rPr>
      </w:pPr>
      <w:r w:rsidDel="00000000" w:rsidR="00000000" w:rsidRPr="00000000">
        <w:rPr>
          <w:color w:val="000000"/>
          <w:sz w:val="24"/>
          <w:szCs w:val="24"/>
          <w:rtl w:val="0"/>
        </w:rPr>
        <w:t xml:space="preserve">En las semillas se desarrollan lesiones marrones corticales en el internodo entre el escutelo y coleoptile; las raíces seminales son destruidas frecuentemente. En el tallo se presentan lesiones solas o confluentes en forma ovalada, irregulares o elongadas, de 1 - 10 cm de longitud, con un centro crema - marrón pálido y bordes indeterminados más oscuros (</w:t>
      </w:r>
      <w:r w:rsidDel="00000000" w:rsidR="00000000" w:rsidRPr="00000000">
        <w:rPr>
          <w:sz w:val="24"/>
          <w:szCs w:val="24"/>
          <w:rtl w:val="0"/>
        </w:rPr>
        <w:t xml:space="preserve">Figura 3</w:t>
      </w:r>
      <w:r w:rsidDel="00000000" w:rsidR="00000000" w:rsidRPr="00000000">
        <w:rPr>
          <w:color w:val="000000"/>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Las hojas marchitas, llegan a estar secas y adquirir un color verde grisáceo, mostrando síntomas que se asemejan a los daños causados por heladas. El picnidio del hongo, aparece como pústula de color amarillo anaranjado en la superficie superior de las hojas.</w:t>
      </w:r>
    </w:p>
    <w:p w:rsidR="00000000" w:rsidDel="00000000" w:rsidP="00000000" w:rsidRDefault="00000000" w:rsidRPr="00000000" w14:paraId="0000005F">
      <w:pPr>
        <w:spacing w:after="200" w:line="240" w:lineRule="auto"/>
        <w:ind w:firstLine="720"/>
        <w:jc w:val="both"/>
        <w:rPr>
          <w:color w:val="000000"/>
          <w:sz w:val="24"/>
          <w:szCs w:val="24"/>
        </w:rPr>
      </w:pPr>
      <w:r w:rsidDel="00000000" w:rsidR="00000000" w:rsidRPr="00000000">
        <w:rPr>
          <w:color w:val="000000"/>
          <w:sz w:val="24"/>
          <w:szCs w:val="24"/>
          <w:rtl w:val="0"/>
        </w:rPr>
        <w:t xml:space="preserve">La infección de mazorca comienza en su base, trasladándose hacia arriba desde el tallo; la mazorca entera adquiere una tonalidad marrón grisáceo, encogida, descomponiéndose y aligerándose posteriormente. En infecciones tempranas, en las brácteas de la espiga resalta un decoloramiento. Los picnidios negros pueden esparcirse a las brácteas o a los lados del grano (Figura </w:t>
      </w:r>
      <w:r w:rsidDel="00000000" w:rsidR="00000000" w:rsidRPr="00000000">
        <w:rPr>
          <w:sz w:val="24"/>
          <w:szCs w:val="24"/>
          <w:rtl w:val="0"/>
        </w:rPr>
        <w:t xml:space="preserve">4</w:t>
      </w:r>
      <w:r w:rsidDel="00000000" w:rsidR="00000000" w:rsidRPr="00000000">
        <w:rPr>
          <w:color w:val="000000"/>
          <w:sz w:val="24"/>
          <w:szCs w:val="24"/>
          <w:rtl w:val="0"/>
        </w:rPr>
        <w:t xml:space="preserve">).</w:t>
      </w:r>
    </w:p>
    <w:p w:rsidR="00000000" w:rsidDel="00000000" w:rsidP="00000000" w:rsidRDefault="00000000" w:rsidRPr="00000000" w14:paraId="00000060">
      <w:pPr>
        <w:spacing w:after="200" w:line="240" w:lineRule="auto"/>
        <w:ind w:firstLine="720"/>
        <w:jc w:val="both"/>
        <w:rPr>
          <w:color w:val="000000"/>
          <w:sz w:val="24"/>
          <w:szCs w:val="24"/>
        </w:rPr>
      </w:pPr>
      <w:r w:rsidDel="00000000" w:rsidR="00000000" w:rsidRPr="00000000">
        <w:rPr>
          <w:color w:val="000000"/>
          <w:sz w:val="24"/>
          <w:szCs w:val="24"/>
          <w:rtl w:val="0"/>
        </w:rPr>
        <w:t xml:space="preserve">En espigas infectadas tardíamente no se muestran síntomas, pero los granos tienden a desprenderse; comúnmente se encuentra entre los granos un moho blanquecino (Galarza Bazan, 2005).</w:t>
      </w:r>
    </w:p>
    <w:p w:rsidR="00000000" w:rsidDel="00000000" w:rsidP="00000000" w:rsidRDefault="00000000" w:rsidRPr="00000000" w14:paraId="00000061">
      <w:pPr>
        <w:spacing w:after="200" w:line="240" w:lineRule="auto"/>
        <w:ind w:firstLine="720"/>
        <w:jc w:val="both"/>
        <w:rPr>
          <w:sz w:val="24"/>
          <w:szCs w:val="24"/>
        </w:rPr>
      </w:pPr>
      <w:r w:rsidDel="00000000" w:rsidR="00000000" w:rsidRPr="00000000">
        <w:rPr>
          <w:color w:val="000000"/>
          <w:sz w:val="24"/>
          <w:szCs w:val="24"/>
          <w:rtl w:val="0"/>
        </w:rPr>
        <w:t xml:space="preserve">Los síntomas internos causados por éste hongo, consisten en el oscurecimiento y posterior necrosis del tejido vascular de la planta (Figura </w:t>
      </w:r>
      <w:r w:rsidDel="00000000" w:rsidR="00000000" w:rsidRPr="00000000">
        <w:rPr>
          <w:sz w:val="24"/>
          <w:szCs w:val="24"/>
          <w:rtl w:val="0"/>
        </w:rPr>
        <w:t xml:space="preserve">5</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62">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6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djgh2gxj6nm" w:id="9"/>
      <w:bookmarkEnd w:id="9"/>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.3.4 Comportamiento y distribución en los lotes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sz w:val="24"/>
          <w:szCs w:val="24"/>
        </w:rPr>
      </w:pPr>
      <w:r w:rsidDel="00000000" w:rsidR="00000000" w:rsidRPr="00000000">
        <w:rPr>
          <w:sz w:val="24"/>
          <w:szCs w:val="24"/>
          <w:rtl w:val="0"/>
        </w:rPr>
        <w:t xml:space="preserve">Se</w:t>
      </w:r>
      <w:r w:rsidDel="00000000" w:rsidR="00000000" w:rsidRPr="00000000">
        <w:rPr>
          <w:color w:val="000000"/>
          <w:sz w:val="24"/>
          <w:szCs w:val="24"/>
          <w:rtl w:val="0"/>
        </w:rPr>
        <w:t xml:space="preserve"> detectó el hongo en 39 de 42 muestras de semillas en Egipto (Mohamed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1967).</w:t>
      </w:r>
      <w:r w:rsidDel="00000000" w:rsidR="00000000" w:rsidRPr="00000000">
        <w:rPr>
          <w:sz w:val="24"/>
          <w:szCs w:val="24"/>
          <w:rtl w:val="0"/>
        </w:rPr>
        <w:t xml:space="preserve"> </w:t>
      </w:r>
      <w:r w:rsidDel="00000000" w:rsidR="00000000" w:rsidRPr="00000000">
        <w:rPr>
          <w:color w:val="000000"/>
          <w:sz w:val="24"/>
          <w:szCs w:val="24"/>
          <w:rtl w:val="0"/>
        </w:rPr>
        <w:t xml:space="preserve">En Hungría, Michail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(1999), detectaron este hongo en un porcentaje más alto en semillas de maíz blanco (1-9%), que en cultivares amarillos (1-3%). </w:t>
      </w:r>
      <w:r w:rsidDel="00000000" w:rsidR="00000000" w:rsidRPr="00000000">
        <w:rPr>
          <w:rtl w:val="0"/>
        </w:rPr>
      </w:r>
    </w:p>
    <w:p w:rsidR="00000000" w:rsidDel="00000000" w:rsidP="00000000" w:rsidRDefault="00000000" w:rsidRPr="00000000" w14:paraId="00000065">
      <w:pPr>
        <w:spacing w:after="200" w:line="240" w:lineRule="auto"/>
        <w:ind w:firstLine="720"/>
        <w:jc w:val="both"/>
        <w:rPr>
          <w:color w:val="000000"/>
          <w:sz w:val="24"/>
          <w:szCs w:val="24"/>
        </w:rPr>
      </w:pPr>
      <w:r w:rsidDel="00000000" w:rsidR="00000000" w:rsidRPr="00000000">
        <w:rPr>
          <w:color w:val="000000"/>
          <w:sz w:val="24"/>
          <w:szCs w:val="24"/>
          <w:rtl w:val="0"/>
        </w:rPr>
        <w:t xml:space="preserve">El hongo se detectó en diferentes partes de la mazorca, como ser la rama de la mazorca, semillas y en las chalas (cubierta), de cultivares de maíz infectados naturalmente. En ninguna de las partes, el nivel de infección superó el 10%.</w:t>
      </w:r>
    </w:p>
    <w:p w:rsidR="00000000" w:rsidDel="00000000" w:rsidP="00000000" w:rsidRDefault="00000000" w:rsidRPr="00000000" w14:paraId="00000066">
      <w:pPr>
        <w:spacing w:after="200" w:line="240" w:lineRule="auto"/>
        <w:ind w:firstLine="720"/>
        <w:jc w:val="both"/>
        <w:rPr>
          <w:sz w:val="24"/>
          <w:szCs w:val="24"/>
        </w:rPr>
      </w:pPr>
      <w:r w:rsidDel="00000000" w:rsidR="00000000" w:rsidRPr="00000000">
        <w:rPr>
          <w:i w:val="1"/>
          <w:color w:val="000000"/>
          <w:sz w:val="24"/>
          <w:szCs w:val="24"/>
          <w:rtl w:val="0"/>
        </w:rPr>
        <w:t xml:space="preserve">Magnaporthiopsis maydis</w:t>
      </w:r>
      <w:r w:rsidDel="00000000" w:rsidR="00000000" w:rsidRPr="00000000">
        <w:rPr>
          <w:color w:val="000000"/>
          <w:sz w:val="24"/>
          <w:szCs w:val="24"/>
          <w:rtl w:val="0"/>
        </w:rPr>
        <w:t xml:space="preserve">, se detectó en el embrión, el endospermo y la cubierta de la semilla en 12 de las 13 muestras analizadas, a excepción del cv. Amon (Michail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1999).</w:t>
      </w:r>
      <w:r w:rsidDel="00000000" w:rsidR="00000000" w:rsidRPr="00000000">
        <w:rPr>
          <w:rtl w:val="0"/>
        </w:rPr>
      </w:r>
    </w:p>
    <w:p w:rsidR="00000000" w:rsidDel="00000000" w:rsidP="00000000" w:rsidRDefault="00000000" w:rsidRPr="00000000" w14:paraId="00000067">
      <w:pPr>
        <w:pStyle w:val="Heading3"/>
        <w:spacing w:after="200" w:before="280" w:line="240" w:lineRule="auto"/>
        <w:rPr>
          <w:sz w:val="24"/>
          <w:szCs w:val="24"/>
          <w:vertAlign w:val="baseline"/>
        </w:rPr>
      </w:pPr>
      <w:bookmarkStart w:colFirst="0" w:colLast="0" w:name="_heading=h.17dp8vu" w:id="10"/>
      <w:bookmarkEnd w:id="10"/>
      <w:r w:rsidDel="00000000" w:rsidR="00000000" w:rsidRPr="00000000">
        <w:rPr>
          <w:sz w:val="24"/>
          <w:szCs w:val="24"/>
          <w:vertAlign w:val="baseline"/>
          <w:rtl w:val="0"/>
        </w:rPr>
        <w:t xml:space="preserve">1.3.5 Similitudes con otros patógenos</w:t>
      </w:r>
    </w:p>
    <w:p w:rsidR="00000000" w:rsidDel="00000000" w:rsidP="00000000" w:rsidRDefault="00000000" w:rsidRPr="00000000" w14:paraId="00000068">
      <w:pPr>
        <w:spacing w:after="200" w:line="240" w:lineRule="auto"/>
        <w:ind w:firstLine="720"/>
        <w:jc w:val="both"/>
        <w:rPr>
          <w:color w:val="000000"/>
          <w:sz w:val="24"/>
          <w:szCs w:val="24"/>
        </w:rPr>
      </w:pPr>
      <w:r w:rsidDel="00000000" w:rsidR="00000000" w:rsidRPr="00000000">
        <w:rPr>
          <w:i w:val="1"/>
          <w:color w:val="000000"/>
          <w:sz w:val="24"/>
          <w:szCs w:val="24"/>
          <w:rtl w:val="0"/>
        </w:rPr>
        <w:t xml:space="preserve">Magnaporthiopsis maydis,</w:t>
      </w:r>
      <w:r w:rsidDel="00000000" w:rsidR="00000000" w:rsidRPr="00000000">
        <w:rPr>
          <w:color w:val="000000"/>
          <w:sz w:val="24"/>
          <w:szCs w:val="24"/>
          <w:rtl w:val="0"/>
        </w:rPr>
        <w:t xml:space="preserve"> carece de un teleomorfo conocido, pero es similar al anamorfo del género </w:t>
      </w:r>
      <w:r w:rsidDel="00000000" w:rsidR="00000000" w:rsidRPr="00000000">
        <w:rPr>
          <w:i w:val="1"/>
          <w:color w:val="000000"/>
          <w:sz w:val="24"/>
          <w:szCs w:val="24"/>
          <w:rtl w:val="0"/>
        </w:rPr>
        <w:t xml:space="preserve">Harpophora</w:t>
      </w:r>
      <w:r w:rsidDel="00000000" w:rsidR="00000000" w:rsidRPr="00000000">
        <w:rPr>
          <w:color w:val="000000"/>
          <w:sz w:val="24"/>
          <w:szCs w:val="24"/>
          <w:rtl w:val="0"/>
        </w:rPr>
        <w:t xml:space="preserve"> de la especie </w:t>
      </w:r>
      <w:r w:rsidDel="00000000" w:rsidR="00000000" w:rsidRPr="00000000">
        <w:rPr>
          <w:i w:val="1"/>
          <w:color w:val="000000"/>
          <w:sz w:val="24"/>
          <w:szCs w:val="24"/>
          <w:rtl w:val="0"/>
        </w:rPr>
        <w:t xml:space="preserve">Gaeumannomyces</w:t>
      </w:r>
      <w:r w:rsidDel="00000000" w:rsidR="00000000" w:rsidRPr="00000000">
        <w:rPr>
          <w:color w:val="000000"/>
          <w:sz w:val="24"/>
          <w:szCs w:val="24"/>
          <w:rtl w:val="0"/>
        </w:rPr>
        <w:t xml:space="preserve"> en medio de cultivo (Saleh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2003).</w:t>
      </w:r>
    </w:p>
    <w:p w:rsidR="00000000" w:rsidDel="00000000" w:rsidP="00000000" w:rsidRDefault="00000000" w:rsidRPr="00000000" w14:paraId="00000069">
      <w:pPr>
        <w:spacing w:after="200" w:line="240" w:lineRule="auto"/>
        <w:ind w:firstLine="720"/>
        <w:jc w:val="both"/>
        <w:rPr>
          <w:color w:val="000000"/>
          <w:sz w:val="24"/>
          <w:szCs w:val="24"/>
        </w:rPr>
      </w:pPr>
      <w:r w:rsidDel="00000000" w:rsidR="00000000" w:rsidRPr="00000000">
        <w:rPr>
          <w:i w:val="1"/>
          <w:color w:val="000000"/>
          <w:sz w:val="24"/>
          <w:szCs w:val="24"/>
          <w:rtl w:val="0"/>
        </w:rPr>
        <w:t xml:space="preserve">Magnaporthiopsis maydis</w:t>
      </w:r>
      <w:r w:rsidDel="00000000" w:rsidR="00000000" w:rsidRPr="00000000">
        <w:rPr>
          <w:color w:val="000000"/>
          <w:sz w:val="24"/>
          <w:szCs w:val="24"/>
          <w:rtl w:val="0"/>
        </w:rPr>
        <w:t xml:space="preserve">, se puede distinguir de otras especies de </w:t>
      </w:r>
      <w:r w:rsidDel="00000000" w:rsidR="00000000" w:rsidRPr="00000000">
        <w:rPr>
          <w:i w:val="1"/>
          <w:color w:val="000000"/>
          <w:sz w:val="24"/>
          <w:szCs w:val="24"/>
          <w:rtl w:val="0"/>
        </w:rPr>
        <w:t xml:space="preserve">Acremonium,</w:t>
      </w:r>
      <w:r w:rsidDel="00000000" w:rsidR="00000000" w:rsidRPr="00000000">
        <w:rPr>
          <w:color w:val="000000"/>
          <w:sz w:val="24"/>
          <w:szCs w:val="24"/>
          <w:rtl w:val="0"/>
        </w:rPr>
        <w:t xml:space="preserve"> debido a su rápido crecimiento en medios de cultivo complejos, crecimiento mínimo en agar de Czapek y con eventual pigmentación oscura (Samra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1963).</w:t>
      </w:r>
    </w:p>
    <w:p w:rsidR="00000000" w:rsidDel="00000000" w:rsidP="00000000" w:rsidRDefault="00000000" w:rsidRPr="00000000" w14:paraId="0000006A">
      <w:pPr>
        <w:spacing w:after="200" w:line="240" w:lineRule="auto"/>
        <w:ind w:firstLine="720"/>
        <w:jc w:val="both"/>
        <w:rPr>
          <w:sz w:val="24"/>
          <w:szCs w:val="24"/>
        </w:rPr>
      </w:pPr>
      <w:r w:rsidDel="00000000" w:rsidR="00000000" w:rsidRPr="00000000">
        <w:rPr>
          <w:sz w:val="24"/>
          <w:szCs w:val="24"/>
          <w:rtl w:val="0"/>
        </w:rPr>
        <w:t xml:space="preserve">Los conidióforos pueden ser bastante largos y los conidios son generalmente más grandes que los de otras especies de </w:t>
      </w:r>
      <w:r w:rsidDel="00000000" w:rsidR="00000000" w:rsidRPr="00000000">
        <w:rPr>
          <w:i w:val="1"/>
          <w:sz w:val="24"/>
          <w:szCs w:val="24"/>
          <w:rtl w:val="0"/>
        </w:rPr>
        <w:t xml:space="preserve">Acremonium</w:t>
      </w:r>
      <w:r w:rsidDel="00000000" w:rsidR="00000000" w:rsidRPr="00000000">
        <w:rPr>
          <w:sz w:val="24"/>
          <w:szCs w:val="24"/>
          <w:rtl w:val="0"/>
        </w:rPr>
        <w:t xml:space="preserve"> (Samra </w:t>
      </w:r>
      <w:r w:rsidDel="00000000" w:rsidR="00000000" w:rsidRPr="00000000">
        <w:rPr>
          <w:i w:val="1"/>
          <w:sz w:val="24"/>
          <w:szCs w:val="24"/>
          <w:rtl w:val="0"/>
        </w:rPr>
        <w:t xml:space="preserve">et al</w:t>
      </w:r>
      <w:r w:rsidDel="00000000" w:rsidR="00000000" w:rsidRPr="00000000">
        <w:rPr>
          <w:sz w:val="24"/>
          <w:szCs w:val="24"/>
          <w:rtl w:val="0"/>
        </w:rPr>
        <w:t xml:space="preserve">., 1963; Gams, 2000).</w:t>
      </w:r>
    </w:p>
    <w:p w:rsidR="00000000" w:rsidDel="00000000" w:rsidP="00000000" w:rsidRDefault="00000000" w:rsidRPr="00000000" w14:paraId="0000006B">
      <w:pPr>
        <w:spacing w:after="200" w:line="240" w:lineRule="auto"/>
        <w:ind w:firstLine="720"/>
        <w:jc w:val="both"/>
        <w:rPr>
          <w:sz w:val="24"/>
          <w:szCs w:val="24"/>
        </w:rPr>
      </w:pPr>
      <w:r w:rsidDel="00000000" w:rsidR="00000000" w:rsidRPr="00000000">
        <w:rPr>
          <w:sz w:val="24"/>
          <w:szCs w:val="24"/>
          <w:rtl w:val="0"/>
        </w:rPr>
        <w:t xml:space="preserve">Según DeganiI, O.,(2021), algunos artículos científicos confundieron </w:t>
      </w:r>
      <w:r w:rsidDel="00000000" w:rsidR="00000000" w:rsidRPr="00000000">
        <w:rPr>
          <w:i w:val="1"/>
          <w:sz w:val="24"/>
          <w:szCs w:val="24"/>
          <w:rtl w:val="0"/>
        </w:rPr>
        <w:t xml:space="preserve">Magnaporthiopsis maydis</w:t>
      </w:r>
      <w:r w:rsidDel="00000000" w:rsidR="00000000" w:rsidRPr="00000000">
        <w:rPr>
          <w:sz w:val="24"/>
          <w:szCs w:val="24"/>
          <w:rtl w:val="0"/>
        </w:rPr>
        <w:t xml:space="preserve"> con </w:t>
      </w:r>
      <w:r w:rsidDel="00000000" w:rsidR="00000000" w:rsidRPr="00000000">
        <w:rPr>
          <w:i w:val="1"/>
          <w:sz w:val="24"/>
          <w:szCs w:val="24"/>
          <w:rtl w:val="0"/>
        </w:rPr>
        <w:t xml:space="preserve">Acremonium maydis</w:t>
      </w:r>
      <w:r w:rsidDel="00000000" w:rsidR="00000000" w:rsidRPr="00000000">
        <w:rPr>
          <w:sz w:val="24"/>
          <w:szCs w:val="24"/>
          <w:rtl w:val="0"/>
        </w:rPr>
        <w:t xml:space="preserve">, pero </w:t>
      </w:r>
      <w:r w:rsidDel="00000000" w:rsidR="00000000" w:rsidRPr="00000000">
        <w:rPr>
          <w:i w:val="1"/>
          <w:sz w:val="24"/>
          <w:szCs w:val="24"/>
          <w:rtl w:val="0"/>
        </w:rPr>
        <w:t xml:space="preserve">Acremonium maydis</w:t>
      </w:r>
      <w:r w:rsidDel="00000000" w:rsidR="00000000" w:rsidRPr="00000000">
        <w:rPr>
          <w:sz w:val="24"/>
          <w:szCs w:val="24"/>
          <w:rtl w:val="0"/>
        </w:rPr>
        <w:t xml:space="preserve"> es otro hongo. Probablemente fue una identificación errónea.</w:t>
      </w:r>
    </w:p>
    <w:p w:rsidR="00000000" w:rsidDel="00000000" w:rsidP="00000000" w:rsidRDefault="00000000" w:rsidRPr="00000000" w14:paraId="0000006C">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6l946d1bpeis" w:id="11"/>
      <w:bookmarkEnd w:id="11"/>
      <w:r w:rsidDel="00000000" w:rsidR="00000000" w:rsidRPr="00000000">
        <w:rPr>
          <w:rtl w:val="0"/>
        </w:rPr>
      </w:r>
    </w:p>
    <w:p w:rsidR="00000000" w:rsidDel="00000000" w:rsidP="00000000" w:rsidRDefault="00000000" w:rsidRPr="00000000" w14:paraId="0000006D">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76" w:lineRule="auto"/>
        <w:ind w:left="0" w:right="0" w:firstLine="0"/>
        <w:jc w:val="left"/>
        <w:rPr>
          <w:b w:val="1"/>
          <w:sz w:val="28"/>
          <w:szCs w:val="28"/>
        </w:rPr>
      </w:pPr>
      <w:bookmarkStart w:colFirst="0" w:colLast="0" w:name="_heading=h.32lqegkv8bpy" w:id="12"/>
      <w:bookmarkEnd w:id="12"/>
      <w:r w:rsidDel="00000000" w:rsidR="00000000" w:rsidRPr="00000000">
        <w:rPr>
          <w:b w:val="1"/>
          <w:sz w:val="28"/>
          <w:szCs w:val="28"/>
          <w:rtl w:val="0"/>
        </w:rPr>
        <w:t xml:space="preserve">2. Bibliografía</w:t>
      </w:r>
    </w:p>
    <w:p w:rsidR="00000000" w:rsidDel="00000000" w:rsidP="00000000" w:rsidRDefault="00000000" w:rsidRPr="00000000" w14:paraId="0000006E">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EPPO, </w:t>
      </w:r>
      <w:r w:rsidDel="00000000" w:rsidR="00000000" w:rsidRPr="00000000">
        <w:rPr>
          <w:color w:val="000000"/>
          <w:sz w:val="20"/>
          <w:szCs w:val="20"/>
          <w:rtl w:val="0"/>
        </w:rPr>
        <w:t xml:space="preserve">2020.</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EPPO Global Database, </w:t>
      </w:r>
      <w:r w:rsidDel="00000000" w:rsidR="00000000" w:rsidRPr="00000000">
        <w:rPr>
          <w:i w:val="1"/>
          <w:color w:val="000000"/>
          <w:sz w:val="20"/>
          <w:szCs w:val="20"/>
          <w:rtl w:val="0"/>
        </w:rPr>
        <w:t xml:space="preserve">Magnaporthiopsis maydis.</w:t>
      </w:r>
      <w:r w:rsidDel="00000000" w:rsidR="00000000" w:rsidRPr="00000000">
        <w:rPr>
          <w:color w:val="000000"/>
          <w:sz w:val="20"/>
          <w:szCs w:val="20"/>
          <w:rtl w:val="0"/>
        </w:rPr>
        <w:t xml:space="preserve"> </w:t>
      </w:r>
      <w:hyperlink r:id="rId8">
        <w:r w:rsidDel="00000000" w:rsidR="00000000" w:rsidRPr="00000000">
          <w:rPr>
            <w:i w:val="1"/>
            <w:color w:val="0000ff"/>
            <w:sz w:val="20"/>
            <w:szCs w:val="20"/>
            <w:u w:val="single"/>
            <w:rtl w:val="0"/>
          </w:rPr>
          <w:t xml:space="preserve">https://gd.eppo.int/taxon/CPHUMA</w:t>
        </w:r>
      </w:hyperlink>
      <w:r w:rsidDel="00000000" w:rsidR="00000000" w:rsidRPr="00000000">
        <w:rPr>
          <w:i w:val="1"/>
          <w:color w:val="0000ff"/>
          <w:sz w:val="20"/>
          <w:szCs w:val="20"/>
          <w:u w:val="single"/>
          <w:rtl w:val="0"/>
        </w:rPr>
        <w:t xml:space="preserve">.</w:t>
      </w:r>
      <w:r w:rsidDel="00000000" w:rsidR="00000000" w:rsidRPr="00000000">
        <w:rPr>
          <w:rtl w:val="0"/>
        </w:rPr>
      </w:r>
    </w:p>
    <w:p w:rsidR="00000000" w:rsidDel="00000000" w:rsidP="00000000" w:rsidRDefault="00000000" w:rsidRPr="00000000" w14:paraId="0000006F">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CAB International, </w:t>
      </w:r>
      <w:r w:rsidDel="00000000" w:rsidR="00000000" w:rsidRPr="00000000">
        <w:rPr>
          <w:color w:val="000000"/>
          <w:sz w:val="20"/>
          <w:szCs w:val="20"/>
          <w:rtl w:val="0"/>
        </w:rPr>
        <w:t xml:space="preserve">2021. </w:t>
      </w:r>
      <w:r w:rsidDel="00000000" w:rsidR="00000000" w:rsidRPr="00000000">
        <w:rPr>
          <w:i w:val="1"/>
          <w:color w:val="000000"/>
          <w:sz w:val="20"/>
          <w:szCs w:val="20"/>
          <w:rtl w:val="0"/>
        </w:rPr>
        <w:t xml:space="preserve">Harpophora maydis</w:t>
      </w:r>
      <w:r w:rsidDel="00000000" w:rsidR="00000000" w:rsidRPr="00000000">
        <w:rPr>
          <w:color w:val="000000"/>
          <w:sz w:val="20"/>
          <w:szCs w:val="20"/>
          <w:rtl w:val="0"/>
        </w:rPr>
        <w:t xml:space="preserve"> (late wilt of maize)</w:t>
      </w:r>
      <w:r w:rsidDel="00000000" w:rsidR="00000000" w:rsidRPr="00000000">
        <w:rPr>
          <w:i w:val="1"/>
          <w:color w:val="000000"/>
          <w:sz w:val="20"/>
          <w:szCs w:val="20"/>
          <w:rtl w:val="0"/>
        </w:rPr>
        <w:t xml:space="preserve">. </w:t>
      </w:r>
      <w:hyperlink r:id="rId9">
        <w:r w:rsidDel="00000000" w:rsidR="00000000" w:rsidRPr="00000000">
          <w:rPr>
            <w:i w:val="1"/>
            <w:color w:val="0000ff"/>
            <w:sz w:val="20"/>
            <w:szCs w:val="20"/>
            <w:u w:val="single"/>
            <w:rtl w:val="0"/>
          </w:rPr>
          <w:t xml:space="preserve">https://www.cabi.org/isc/datasheet/109285#tohostsOrSpeciesAffected</w:t>
        </w:r>
      </w:hyperlink>
      <w:r w:rsidDel="00000000" w:rsidR="00000000" w:rsidRPr="00000000">
        <w:rPr>
          <w:i w:val="1"/>
          <w:color w:val="000000"/>
          <w:sz w:val="20"/>
          <w:szCs w:val="20"/>
          <w:rtl w:val="0"/>
        </w:rPr>
        <w:t xml:space="preserve">.</w:t>
      </w:r>
      <w:r w:rsidDel="00000000" w:rsidR="00000000" w:rsidRPr="00000000">
        <w:rPr>
          <w:rtl w:val="0"/>
        </w:rPr>
      </w:r>
    </w:p>
    <w:p w:rsidR="00000000" w:rsidDel="00000000" w:rsidP="00000000" w:rsidRDefault="00000000" w:rsidRPr="00000000" w14:paraId="00000070">
      <w:pPr>
        <w:spacing w:after="0" w:line="276" w:lineRule="auto"/>
        <w:ind w:left="720.0000000000001" w:hanging="720.0000000000001"/>
        <w:jc w:val="both"/>
        <w:rPr>
          <w:color w:val="000000"/>
          <w:sz w:val="20"/>
          <w:szCs w:val="20"/>
        </w:rPr>
      </w:pPr>
      <w:r w:rsidDel="00000000" w:rsidR="00000000" w:rsidRPr="00000000">
        <w:rPr>
          <w:b w:val="1"/>
          <w:color w:val="000000"/>
          <w:sz w:val="20"/>
          <w:szCs w:val="20"/>
          <w:rtl w:val="0"/>
        </w:rPr>
        <w:t xml:space="preserve">Degani O &amp; Cernica G</w:t>
      </w:r>
      <w:r w:rsidDel="00000000" w:rsidR="00000000" w:rsidRPr="00000000">
        <w:rPr>
          <w:color w:val="000000"/>
          <w:sz w:val="20"/>
          <w:szCs w:val="20"/>
          <w:rtl w:val="0"/>
        </w:rPr>
        <w:t xml:space="preserve">, 2014. </w:t>
      </w:r>
      <w:r w:rsidDel="00000000" w:rsidR="00000000" w:rsidRPr="00000000">
        <w:rPr>
          <w:i w:val="1"/>
          <w:color w:val="000000"/>
          <w:sz w:val="20"/>
          <w:szCs w:val="20"/>
          <w:rtl w:val="0"/>
        </w:rPr>
        <w:t xml:space="preserve">Diagnosis and Control of Harpophora maydis, the Cause of Late Wilt in Maize.</w:t>
      </w:r>
      <w:r w:rsidDel="00000000" w:rsidR="00000000" w:rsidRPr="00000000">
        <w:rPr>
          <w:color w:val="000000"/>
          <w:sz w:val="20"/>
          <w:szCs w:val="20"/>
          <w:rtl w:val="0"/>
        </w:rPr>
        <w:t xml:space="preserve"> Ai Magazine 4: 94-105.</w:t>
      </w:r>
    </w:p>
    <w:p w:rsidR="00000000" w:rsidDel="00000000" w:rsidP="00000000" w:rsidRDefault="00000000" w:rsidRPr="00000000" w14:paraId="00000071">
      <w:pPr>
        <w:spacing w:after="0" w:line="276" w:lineRule="auto"/>
        <w:ind w:left="720.0000000000001" w:hanging="720.0000000000001"/>
        <w:jc w:val="both"/>
        <w:rPr>
          <w:color w:val="000000"/>
          <w:sz w:val="20"/>
          <w:szCs w:val="20"/>
        </w:rPr>
      </w:pPr>
      <w:r w:rsidDel="00000000" w:rsidR="00000000" w:rsidRPr="00000000">
        <w:rPr>
          <w:b w:val="1"/>
          <w:color w:val="000000"/>
          <w:sz w:val="20"/>
          <w:szCs w:val="20"/>
          <w:rtl w:val="0"/>
        </w:rPr>
        <w:t xml:space="preserve">Degani, O</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A Review: Late Wilt of Maize — The Pathogen, the Disease, Current Status, and Future Perspective</w:t>
      </w:r>
      <w:r w:rsidDel="00000000" w:rsidR="00000000" w:rsidRPr="00000000">
        <w:rPr>
          <w:color w:val="000000"/>
          <w:sz w:val="20"/>
          <w:szCs w:val="20"/>
          <w:rtl w:val="0"/>
        </w:rPr>
        <w:t xml:space="preserve">. Journal of Fungi, v. 7, n. 11, p. 989, 2021.</w:t>
      </w:r>
    </w:p>
    <w:p w:rsidR="00000000" w:rsidDel="00000000" w:rsidP="00000000" w:rsidRDefault="00000000" w:rsidRPr="00000000" w14:paraId="00000072">
      <w:pPr>
        <w:spacing w:after="0" w:line="276" w:lineRule="auto"/>
        <w:ind w:left="720.0000000000001" w:hanging="720.0000000000001"/>
        <w:jc w:val="both"/>
        <w:rPr>
          <w:color w:val="000000"/>
          <w:sz w:val="20"/>
          <w:szCs w:val="20"/>
        </w:rPr>
      </w:pPr>
      <w:r w:rsidDel="00000000" w:rsidR="00000000" w:rsidRPr="00000000">
        <w:rPr>
          <w:b w:val="1"/>
          <w:color w:val="000000"/>
          <w:sz w:val="20"/>
          <w:szCs w:val="20"/>
          <w:rtl w:val="0"/>
        </w:rPr>
        <w:t xml:space="preserve">Dor, S. &amp; Degani, O.</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Uncovering the host range for maize pathogen Magnaporthiopsis maydis.</w:t>
      </w:r>
      <w:r w:rsidDel="00000000" w:rsidR="00000000" w:rsidRPr="00000000">
        <w:rPr>
          <w:color w:val="000000"/>
          <w:sz w:val="20"/>
          <w:szCs w:val="20"/>
          <w:rtl w:val="0"/>
        </w:rPr>
        <w:t xml:space="preserve"> Plants, v. 8, n. 8, p. 259, 2019.</w:t>
      </w:r>
    </w:p>
    <w:p w:rsidR="00000000" w:rsidDel="00000000" w:rsidP="00000000" w:rsidRDefault="00000000" w:rsidRPr="00000000" w14:paraId="00000073">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Drori, R., Sharon, A., Goldberg, D., Rabinovitz, O., Levy, M. &amp; Degani, O.</w:t>
      </w:r>
      <w:r w:rsidDel="00000000" w:rsidR="00000000" w:rsidRPr="00000000">
        <w:rPr>
          <w:color w:val="000000"/>
          <w:sz w:val="20"/>
          <w:szCs w:val="20"/>
          <w:rtl w:val="0"/>
        </w:rPr>
        <w:t xml:space="preserve">, 2013. </w:t>
      </w:r>
      <w:r w:rsidDel="00000000" w:rsidR="00000000" w:rsidRPr="00000000">
        <w:rPr>
          <w:i w:val="1"/>
          <w:color w:val="000000"/>
          <w:sz w:val="20"/>
          <w:szCs w:val="20"/>
          <w:rtl w:val="0"/>
        </w:rPr>
        <w:t xml:space="preserve">Molecular diagnosis for Harpophora maydis, the cause of maize late wilt in Israel.</w:t>
      </w:r>
      <w:r w:rsidDel="00000000" w:rsidR="00000000" w:rsidRPr="00000000">
        <w:rPr>
          <w:color w:val="000000"/>
          <w:sz w:val="20"/>
          <w:szCs w:val="20"/>
          <w:rtl w:val="0"/>
        </w:rPr>
        <w:t xml:space="preserve"> Phytopathologia Mediterranea 52: 16-29.</w:t>
      </w:r>
      <w:r w:rsidDel="00000000" w:rsidR="00000000" w:rsidRPr="00000000">
        <w:rPr>
          <w:rtl w:val="0"/>
        </w:rPr>
      </w:r>
    </w:p>
    <w:p w:rsidR="00000000" w:rsidDel="00000000" w:rsidP="00000000" w:rsidRDefault="00000000" w:rsidRPr="00000000" w14:paraId="00000074">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Gams, W</w:t>
      </w:r>
      <w:r w:rsidDel="00000000" w:rsidR="00000000" w:rsidRPr="00000000">
        <w:rPr>
          <w:color w:val="000000"/>
          <w:sz w:val="20"/>
          <w:szCs w:val="20"/>
          <w:rtl w:val="0"/>
        </w:rPr>
        <w:t xml:space="preserve">, 2000. Phialophora and some similar morphologically little-differentiated anamorphs of divergent ascomycetes. Studies in Mycology, 45:187-200.</w:t>
      </w:r>
      <w:r w:rsidDel="00000000" w:rsidR="00000000" w:rsidRPr="00000000">
        <w:rPr>
          <w:rtl w:val="0"/>
        </w:rPr>
      </w:r>
    </w:p>
    <w:p w:rsidR="00000000" w:rsidDel="00000000" w:rsidP="00000000" w:rsidRDefault="00000000" w:rsidRPr="00000000" w14:paraId="00000075">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Khokhar, MK, Hooda, KS, Sharma, SS &amp; Singh, V</w:t>
      </w:r>
      <w:r w:rsidDel="00000000" w:rsidR="00000000" w:rsidRPr="00000000">
        <w:rPr>
          <w:color w:val="000000"/>
          <w:sz w:val="20"/>
          <w:szCs w:val="20"/>
          <w:rtl w:val="0"/>
        </w:rPr>
        <w:t xml:space="preserve">, 2014. </w:t>
      </w:r>
      <w:r w:rsidDel="00000000" w:rsidR="00000000" w:rsidRPr="00000000">
        <w:rPr>
          <w:i w:val="1"/>
          <w:color w:val="000000"/>
          <w:sz w:val="20"/>
          <w:szCs w:val="20"/>
          <w:rtl w:val="0"/>
        </w:rPr>
        <w:t xml:space="preserve">Post flowering stalk rot complex of maize-present status and future prospects.</w:t>
      </w:r>
      <w:r w:rsidDel="00000000" w:rsidR="00000000" w:rsidRPr="00000000">
        <w:rPr>
          <w:color w:val="000000"/>
          <w:sz w:val="20"/>
          <w:szCs w:val="20"/>
          <w:rtl w:val="0"/>
        </w:rPr>
        <w:t xml:space="preserve"> Maydica 59, 226-242.</w:t>
      </w:r>
      <w:r w:rsidDel="00000000" w:rsidR="00000000" w:rsidRPr="00000000">
        <w:rPr>
          <w:rtl w:val="0"/>
        </w:rPr>
      </w:r>
    </w:p>
    <w:p w:rsidR="00000000" w:rsidDel="00000000" w:rsidP="00000000" w:rsidRDefault="00000000" w:rsidRPr="00000000" w14:paraId="00000076">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Michail, SH, Abou-Elseoud, MS &amp; Eldin, MSN</w:t>
      </w:r>
      <w:r w:rsidDel="00000000" w:rsidR="00000000" w:rsidRPr="00000000">
        <w:rPr>
          <w:color w:val="000000"/>
          <w:sz w:val="20"/>
          <w:szCs w:val="20"/>
          <w:rtl w:val="0"/>
        </w:rPr>
        <w:t xml:space="preserve">, 1999. </w:t>
      </w:r>
      <w:r w:rsidDel="00000000" w:rsidR="00000000" w:rsidRPr="00000000">
        <w:rPr>
          <w:i w:val="1"/>
          <w:color w:val="000000"/>
          <w:sz w:val="20"/>
          <w:szCs w:val="20"/>
          <w:rtl w:val="0"/>
        </w:rPr>
        <w:t xml:space="preserve">Seed health testing of corn for Cephalosporium maydis.</w:t>
      </w:r>
      <w:r w:rsidDel="00000000" w:rsidR="00000000" w:rsidRPr="00000000">
        <w:rPr>
          <w:color w:val="000000"/>
          <w:sz w:val="20"/>
          <w:szCs w:val="20"/>
          <w:rtl w:val="0"/>
        </w:rPr>
        <w:t xml:space="preserve"> Acta Phytopathologica et Entomologica Hungarica, 34(1/2):35-41; 18 ref.</w:t>
      </w:r>
      <w:r w:rsidDel="00000000" w:rsidR="00000000" w:rsidRPr="00000000">
        <w:rPr>
          <w:rtl w:val="0"/>
        </w:rPr>
      </w:r>
    </w:p>
    <w:p w:rsidR="00000000" w:rsidDel="00000000" w:rsidP="00000000" w:rsidRDefault="00000000" w:rsidRPr="00000000" w14:paraId="00000077">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Mohamed, HA, Ashour, WE, Sirry, AR &amp; Fathi SM</w:t>
      </w:r>
      <w:r w:rsidDel="00000000" w:rsidR="00000000" w:rsidRPr="00000000">
        <w:rPr>
          <w:color w:val="000000"/>
          <w:sz w:val="20"/>
          <w:szCs w:val="20"/>
          <w:rtl w:val="0"/>
        </w:rPr>
        <w:t xml:space="preserve">, 1967. </w:t>
      </w:r>
      <w:r w:rsidDel="00000000" w:rsidR="00000000" w:rsidRPr="00000000">
        <w:rPr>
          <w:i w:val="1"/>
          <w:color w:val="000000"/>
          <w:sz w:val="20"/>
          <w:szCs w:val="20"/>
          <w:rtl w:val="0"/>
        </w:rPr>
        <w:t xml:space="preserve">Fungi carried by corn seed and their importance in causing corn diseases in the United Arab Republic</w:t>
      </w:r>
      <w:r w:rsidDel="00000000" w:rsidR="00000000" w:rsidRPr="00000000">
        <w:rPr>
          <w:color w:val="000000"/>
          <w:sz w:val="20"/>
          <w:szCs w:val="20"/>
          <w:rtl w:val="0"/>
        </w:rPr>
        <w:t xml:space="preserve">. Plant Disease Reporter, 51:53-56.</w:t>
      </w:r>
      <w:r w:rsidDel="00000000" w:rsidR="00000000" w:rsidRPr="00000000">
        <w:rPr>
          <w:rtl w:val="0"/>
        </w:rPr>
      </w:r>
    </w:p>
    <w:p w:rsidR="00000000" w:rsidDel="00000000" w:rsidP="00000000" w:rsidRDefault="00000000" w:rsidRPr="00000000" w14:paraId="00000078">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Ortiz Bustos, CM</w:t>
      </w:r>
      <w:r w:rsidDel="00000000" w:rsidR="00000000" w:rsidRPr="00000000">
        <w:rPr>
          <w:color w:val="000000"/>
          <w:sz w:val="20"/>
          <w:szCs w:val="20"/>
          <w:rtl w:val="0"/>
        </w:rPr>
        <w:t xml:space="preserve">, 2017. </w:t>
      </w:r>
      <w:r w:rsidDel="00000000" w:rsidR="00000000" w:rsidRPr="00000000">
        <w:rPr>
          <w:i w:val="1"/>
          <w:color w:val="000000"/>
          <w:sz w:val="20"/>
          <w:szCs w:val="20"/>
          <w:rtl w:val="0"/>
        </w:rPr>
        <w:t xml:space="preserve">Detección pre sintomática y no destructiva de enfermedades causadas por patógenos de suelo en maíz (Marchitez Tardía) y en girasol (Jopo) mediante medidas térmicas y de fluorescencia multicolor</w:t>
      </w:r>
      <w:r w:rsidDel="00000000" w:rsidR="00000000" w:rsidRPr="00000000">
        <w:rPr>
          <w:color w:val="000000"/>
          <w:sz w:val="20"/>
          <w:szCs w:val="20"/>
          <w:rtl w:val="0"/>
        </w:rPr>
        <w:t xml:space="preserve">. Tesis Doctoral. Universidad De Córdoba, España. UCOPress, 165p.</w:t>
      </w:r>
      <w:r w:rsidDel="00000000" w:rsidR="00000000" w:rsidRPr="00000000">
        <w:rPr>
          <w:rtl w:val="0"/>
        </w:rPr>
      </w:r>
    </w:p>
    <w:p w:rsidR="00000000" w:rsidDel="00000000" w:rsidP="00000000" w:rsidRDefault="00000000" w:rsidRPr="00000000" w14:paraId="00000079">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Plantix,</w:t>
      </w:r>
      <w:r w:rsidDel="00000000" w:rsidR="00000000" w:rsidRPr="00000000">
        <w:rPr>
          <w:color w:val="000000"/>
          <w:sz w:val="20"/>
          <w:szCs w:val="20"/>
          <w:rtl w:val="0"/>
        </w:rPr>
        <w:t xml:space="preserve"> 2022. </w:t>
      </w:r>
      <w:r w:rsidDel="00000000" w:rsidR="00000000" w:rsidRPr="00000000">
        <w:rPr>
          <w:i w:val="1"/>
          <w:color w:val="000000"/>
          <w:sz w:val="20"/>
          <w:szCs w:val="20"/>
          <w:rtl w:val="0"/>
        </w:rPr>
        <w:t xml:space="preserve">Cefalosporiosis del maíz Magnaporthiopsis maydis</w:t>
      </w:r>
      <w:r w:rsidDel="00000000" w:rsidR="00000000" w:rsidRPr="00000000">
        <w:rPr>
          <w:color w:val="000000"/>
          <w:sz w:val="20"/>
          <w:szCs w:val="20"/>
          <w:rtl w:val="0"/>
        </w:rPr>
        <w:t xml:space="preserve"> [En línea]. Consultado en junio</w:t>
      </w:r>
      <w:r w:rsidDel="00000000" w:rsidR="00000000" w:rsidRPr="00000000">
        <w:rPr>
          <w:sz w:val="20"/>
          <w:szCs w:val="20"/>
          <w:rtl w:val="0"/>
        </w:rPr>
        <w:t xml:space="preserve"> </w:t>
      </w:r>
      <w:r w:rsidDel="00000000" w:rsidR="00000000" w:rsidRPr="00000000">
        <w:rPr>
          <w:color w:val="000000"/>
          <w:sz w:val="20"/>
          <w:szCs w:val="20"/>
          <w:rtl w:val="0"/>
        </w:rPr>
        <w:t xml:space="preserve">2022. Disponible en: </w:t>
      </w:r>
      <w:hyperlink r:id="rId10">
        <w:r w:rsidDel="00000000" w:rsidR="00000000" w:rsidRPr="00000000">
          <w:rPr>
            <w:color w:val="0000ff"/>
            <w:sz w:val="20"/>
            <w:szCs w:val="20"/>
            <w:u w:val="single"/>
            <w:rtl w:val="0"/>
          </w:rPr>
          <w:t xml:space="preserve">https://plantix.net/en/library/plant-diseases/100295/cefalosporiosis-del-maz/</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7A">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Sabet, KA., Samra AS. &amp; Mansour, IM.</w:t>
      </w:r>
      <w:r w:rsidDel="00000000" w:rsidR="00000000" w:rsidRPr="00000000">
        <w:rPr>
          <w:color w:val="000000"/>
          <w:sz w:val="20"/>
          <w:szCs w:val="20"/>
          <w:rtl w:val="0"/>
        </w:rPr>
        <w:t xml:space="preserve">, 1970b. </w:t>
      </w:r>
      <w:r w:rsidDel="00000000" w:rsidR="00000000" w:rsidRPr="00000000">
        <w:rPr>
          <w:i w:val="1"/>
          <w:color w:val="000000"/>
          <w:sz w:val="20"/>
          <w:szCs w:val="20"/>
          <w:rtl w:val="0"/>
        </w:rPr>
        <w:t xml:space="preserve">Saprophytic behavior of Cephalosporium maydis and C. acremonium.</w:t>
      </w:r>
      <w:r w:rsidDel="00000000" w:rsidR="00000000" w:rsidRPr="00000000">
        <w:rPr>
          <w:color w:val="000000"/>
          <w:sz w:val="20"/>
          <w:szCs w:val="20"/>
          <w:rtl w:val="0"/>
        </w:rPr>
        <w:t xml:space="preserve"> Ann. Appl. Biol. 66, 265-271.</w:t>
      </w:r>
      <w:r w:rsidDel="00000000" w:rsidR="00000000" w:rsidRPr="00000000">
        <w:rPr>
          <w:rtl w:val="0"/>
        </w:rPr>
      </w:r>
    </w:p>
    <w:p w:rsidR="00000000" w:rsidDel="00000000" w:rsidP="00000000" w:rsidRDefault="00000000" w:rsidRPr="00000000" w14:paraId="0000007B">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Sabet, KA., Zaher, AM., Samra, AS &amp; Mansour, IM.</w:t>
      </w:r>
      <w:r w:rsidDel="00000000" w:rsidR="00000000" w:rsidRPr="00000000">
        <w:rPr>
          <w:color w:val="000000"/>
          <w:sz w:val="20"/>
          <w:szCs w:val="20"/>
          <w:rtl w:val="0"/>
        </w:rPr>
        <w:t xml:space="preserve">, 1970a. </w:t>
      </w:r>
      <w:r w:rsidDel="00000000" w:rsidR="00000000" w:rsidRPr="00000000">
        <w:rPr>
          <w:i w:val="1"/>
          <w:color w:val="000000"/>
          <w:sz w:val="20"/>
          <w:szCs w:val="20"/>
          <w:rtl w:val="0"/>
        </w:rPr>
        <w:t xml:space="preserve">Pathogenic behavior of Cephalosporium maydis and C. acremonium</w:t>
      </w:r>
      <w:r w:rsidDel="00000000" w:rsidR="00000000" w:rsidRPr="00000000">
        <w:rPr>
          <w:color w:val="000000"/>
          <w:sz w:val="20"/>
          <w:szCs w:val="20"/>
          <w:rtl w:val="0"/>
        </w:rPr>
        <w:t xml:space="preserve">. Ann. Appl. Biol. 66, 257-263.</w:t>
      </w:r>
      <w:r w:rsidDel="00000000" w:rsidR="00000000" w:rsidRPr="00000000">
        <w:rPr>
          <w:rtl w:val="0"/>
        </w:rPr>
      </w:r>
    </w:p>
    <w:p w:rsidR="00000000" w:rsidDel="00000000" w:rsidP="00000000" w:rsidRDefault="00000000" w:rsidRPr="00000000" w14:paraId="0000007C">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Saleh, AA., Zeller, KA., Ismael, AM., Fahmy, ZM., El-Assiuty, EM. &amp; Leslie, JF</w:t>
      </w:r>
      <w:r w:rsidDel="00000000" w:rsidR="00000000" w:rsidRPr="00000000">
        <w:rPr>
          <w:color w:val="000000"/>
          <w:sz w:val="20"/>
          <w:szCs w:val="20"/>
          <w:rtl w:val="0"/>
        </w:rPr>
        <w:t xml:space="preserve">, 2003</w:t>
      </w:r>
      <w:r w:rsidDel="00000000" w:rsidR="00000000" w:rsidRPr="00000000">
        <w:rPr>
          <w:i w:val="1"/>
          <w:color w:val="000000"/>
          <w:sz w:val="20"/>
          <w:szCs w:val="20"/>
          <w:rtl w:val="0"/>
        </w:rPr>
        <w:t xml:space="preserve">. Amplified fragment length polymorphism diversity in Cephalosporium maydis from Egypt</w:t>
      </w:r>
      <w:r w:rsidDel="00000000" w:rsidR="00000000" w:rsidRPr="00000000">
        <w:rPr>
          <w:color w:val="000000"/>
          <w:sz w:val="20"/>
          <w:szCs w:val="20"/>
          <w:rtl w:val="0"/>
        </w:rPr>
        <w:t xml:space="preserve">. Phytopathology 93, 853-859. doi: 10.1094/PHYTO.2003.93.7.853.</w:t>
      </w:r>
      <w:r w:rsidDel="00000000" w:rsidR="00000000" w:rsidRPr="00000000">
        <w:rPr>
          <w:rtl w:val="0"/>
        </w:rPr>
      </w:r>
    </w:p>
    <w:p w:rsidR="00000000" w:rsidDel="00000000" w:rsidP="00000000" w:rsidRDefault="00000000" w:rsidRPr="00000000" w14:paraId="0000007D">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Samra, AS., Sabet, KA. &amp; Hingorani, MK.</w:t>
      </w:r>
      <w:r w:rsidDel="00000000" w:rsidR="00000000" w:rsidRPr="00000000">
        <w:rPr>
          <w:color w:val="000000"/>
          <w:sz w:val="20"/>
          <w:szCs w:val="20"/>
          <w:rtl w:val="0"/>
        </w:rPr>
        <w:t xml:space="preserve">, 1963. </w:t>
      </w:r>
      <w:r w:rsidDel="00000000" w:rsidR="00000000" w:rsidRPr="00000000">
        <w:rPr>
          <w:i w:val="1"/>
          <w:color w:val="000000"/>
          <w:sz w:val="20"/>
          <w:szCs w:val="20"/>
          <w:rtl w:val="0"/>
        </w:rPr>
        <w:t xml:space="preserve">Late wilt disease of Maize caused by Cephalosporium maydis.</w:t>
      </w:r>
      <w:r w:rsidDel="00000000" w:rsidR="00000000" w:rsidRPr="00000000">
        <w:rPr>
          <w:color w:val="000000"/>
          <w:sz w:val="20"/>
          <w:szCs w:val="20"/>
          <w:rtl w:val="0"/>
        </w:rPr>
        <w:t xml:space="preserve"> Phytopathology. 53 (4), 402-406 pp.</w:t>
      </w:r>
      <w:r w:rsidDel="00000000" w:rsidR="00000000" w:rsidRPr="00000000">
        <w:rPr>
          <w:rtl w:val="0"/>
        </w:rPr>
      </w:r>
    </w:p>
    <w:p w:rsidR="00000000" w:rsidDel="00000000" w:rsidP="00000000" w:rsidRDefault="00000000" w:rsidRPr="00000000" w14:paraId="0000007E">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Singh, SD. &amp; Siradhana, BS.</w:t>
      </w:r>
      <w:r w:rsidDel="00000000" w:rsidR="00000000" w:rsidRPr="00000000">
        <w:rPr>
          <w:color w:val="000000"/>
          <w:sz w:val="20"/>
          <w:szCs w:val="20"/>
          <w:rtl w:val="0"/>
        </w:rPr>
        <w:t xml:space="preserve">, 1987a. </w:t>
      </w:r>
      <w:r w:rsidDel="00000000" w:rsidR="00000000" w:rsidRPr="00000000">
        <w:rPr>
          <w:i w:val="1"/>
          <w:color w:val="000000"/>
          <w:sz w:val="20"/>
          <w:szCs w:val="20"/>
          <w:rtl w:val="0"/>
        </w:rPr>
        <w:t xml:space="preserve">Influence of some environmental condition on the development of late wilt of maize induced by Cephalosporium maydis</w:t>
      </w:r>
      <w:r w:rsidDel="00000000" w:rsidR="00000000" w:rsidRPr="00000000">
        <w:rPr>
          <w:color w:val="000000"/>
          <w:sz w:val="20"/>
          <w:szCs w:val="20"/>
          <w:rtl w:val="0"/>
        </w:rPr>
        <w:t xml:space="preserve">. Indian Journal of Mycology and Plant Pathology. 1-5.</w:t>
      </w:r>
      <w:r w:rsidDel="00000000" w:rsidR="00000000" w:rsidRPr="00000000">
        <w:rPr>
          <w:rtl w:val="0"/>
        </w:rPr>
      </w:r>
    </w:p>
    <w:p w:rsidR="00000000" w:rsidDel="00000000" w:rsidP="00000000" w:rsidRDefault="00000000" w:rsidRPr="00000000" w14:paraId="0000007F">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Singh, SD. &amp; Siradhana, BS.</w:t>
      </w:r>
      <w:r w:rsidDel="00000000" w:rsidR="00000000" w:rsidRPr="00000000">
        <w:rPr>
          <w:color w:val="000000"/>
          <w:sz w:val="20"/>
          <w:szCs w:val="20"/>
          <w:rtl w:val="0"/>
        </w:rPr>
        <w:t xml:space="preserve"> 1987b. </w:t>
      </w:r>
      <w:r w:rsidDel="00000000" w:rsidR="00000000" w:rsidRPr="00000000">
        <w:rPr>
          <w:i w:val="1"/>
          <w:color w:val="000000"/>
          <w:sz w:val="20"/>
          <w:szCs w:val="20"/>
          <w:rtl w:val="0"/>
        </w:rPr>
        <w:t xml:space="preserve">Survival of Cephalosporium maydis, incitant of late wilt disease of maize.</w:t>
      </w:r>
      <w:r w:rsidDel="00000000" w:rsidR="00000000" w:rsidRPr="00000000">
        <w:rPr>
          <w:color w:val="000000"/>
          <w:sz w:val="20"/>
          <w:szCs w:val="20"/>
          <w:rtl w:val="0"/>
        </w:rPr>
        <w:t xml:space="preserve"> Indian Journal of Mycology and Plant Pathology. 17 (1), 83-85.</w:t>
      </w:r>
      <w:r w:rsidDel="00000000" w:rsidR="00000000" w:rsidRPr="00000000">
        <w:rPr>
          <w:rtl w:val="0"/>
        </w:rPr>
      </w:r>
    </w:p>
    <w:p w:rsidR="00000000" w:rsidDel="00000000" w:rsidP="00000000" w:rsidRDefault="00000000" w:rsidRPr="00000000" w14:paraId="00000080">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Singh, SD &amp; Siradhana, BS.</w:t>
      </w:r>
      <w:r w:rsidDel="00000000" w:rsidR="00000000" w:rsidRPr="00000000">
        <w:rPr>
          <w:color w:val="000000"/>
          <w:sz w:val="20"/>
          <w:szCs w:val="20"/>
          <w:rtl w:val="0"/>
        </w:rPr>
        <w:t xml:space="preserve">, 1988. </w:t>
      </w:r>
      <w:r w:rsidDel="00000000" w:rsidR="00000000" w:rsidRPr="00000000">
        <w:rPr>
          <w:i w:val="1"/>
          <w:color w:val="000000"/>
          <w:sz w:val="20"/>
          <w:szCs w:val="20"/>
          <w:rtl w:val="0"/>
        </w:rPr>
        <w:t xml:space="preserve">Date of sowing in relation to late wilt disease of maize</w:t>
      </w:r>
      <w:r w:rsidDel="00000000" w:rsidR="00000000" w:rsidRPr="00000000">
        <w:rPr>
          <w:color w:val="000000"/>
          <w:sz w:val="20"/>
          <w:szCs w:val="20"/>
          <w:rtl w:val="0"/>
        </w:rPr>
        <w:t xml:space="preserve">. Indian Phytopath. 41, 489-491.</w:t>
      </w:r>
      <w:r w:rsidDel="00000000" w:rsidR="00000000" w:rsidRPr="00000000">
        <w:rPr>
          <w:rtl w:val="0"/>
        </w:rPr>
      </w:r>
    </w:p>
    <w:p w:rsidR="00000000" w:rsidDel="00000000" w:rsidP="00000000" w:rsidRDefault="00000000" w:rsidRPr="00000000" w14:paraId="00000081">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Zeller, KA., Ismael, AM., El-Assiuty, EM., Fahmy, ZM. &amp; Bekheet, FM</w:t>
      </w:r>
      <w:r w:rsidDel="00000000" w:rsidR="00000000" w:rsidRPr="00000000">
        <w:rPr>
          <w:color w:val="000000"/>
          <w:sz w:val="20"/>
          <w:szCs w:val="20"/>
          <w:rtl w:val="0"/>
        </w:rPr>
        <w:t xml:space="preserve">. 2002. </w:t>
      </w:r>
      <w:r w:rsidDel="00000000" w:rsidR="00000000" w:rsidRPr="00000000">
        <w:rPr>
          <w:i w:val="1"/>
          <w:color w:val="000000"/>
          <w:sz w:val="20"/>
          <w:szCs w:val="20"/>
          <w:rtl w:val="0"/>
        </w:rPr>
        <w:t xml:space="preserve">Relative competitiveness and virulence of four clonal lineages of Cephalosporium maydis from Egypt toward greenhouse-grown maize.</w:t>
      </w:r>
      <w:r w:rsidDel="00000000" w:rsidR="00000000" w:rsidRPr="00000000">
        <w:rPr>
          <w:color w:val="000000"/>
          <w:sz w:val="20"/>
          <w:szCs w:val="20"/>
          <w:rtl w:val="0"/>
        </w:rPr>
        <w:t xml:space="preserve"> Plant Dis. 86, 373-378. doi: 10.1094/PDIS.2002.86.4.373.</w:t>
      </w:r>
      <w:r w:rsidDel="00000000" w:rsidR="00000000" w:rsidRPr="00000000">
        <w:rPr>
          <w:rtl w:val="0"/>
        </w:rPr>
      </w:r>
    </w:p>
    <w:p w:rsidR="00000000" w:rsidDel="00000000" w:rsidP="00000000" w:rsidRDefault="00000000" w:rsidRPr="00000000" w14:paraId="00000082">
      <w:pPr>
        <w:spacing w:after="0" w:line="276" w:lineRule="auto"/>
        <w:ind w:left="720.0000000000001" w:hanging="720.0000000000001"/>
        <w:jc w:val="both"/>
        <w:rPr>
          <w:sz w:val="20"/>
          <w:szCs w:val="20"/>
        </w:rPr>
      </w:pPr>
      <w:r w:rsidDel="00000000" w:rsidR="00000000" w:rsidRPr="00000000">
        <w:rPr>
          <w:b w:val="1"/>
          <w:color w:val="000000"/>
          <w:sz w:val="20"/>
          <w:szCs w:val="20"/>
          <w:rtl w:val="0"/>
        </w:rPr>
        <w:t xml:space="preserve">Zeller, KA., Jurgenson, JE., El-Assiuty, ZM. &amp; Leslie, JF.</w:t>
      </w:r>
      <w:r w:rsidDel="00000000" w:rsidR="00000000" w:rsidRPr="00000000">
        <w:rPr>
          <w:color w:val="000000"/>
          <w:sz w:val="20"/>
          <w:szCs w:val="20"/>
          <w:rtl w:val="0"/>
        </w:rPr>
        <w:t xml:space="preserve">, 2000. </w:t>
      </w:r>
      <w:r w:rsidDel="00000000" w:rsidR="00000000" w:rsidRPr="00000000">
        <w:rPr>
          <w:i w:val="1"/>
          <w:color w:val="000000"/>
          <w:sz w:val="20"/>
          <w:szCs w:val="20"/>
          <w:rtl w:val="0"/>
        </w:rPr>
        <w:t xml:space="preserve">Isozyme and amplified fragment length polymorphisms from Cephalosporium maydis in Egypt</w:t>
      </w:r>
      <w:r w:rsidDel="00000000" w:rsidR="00000000" w:rsidRPr="00000000">
        <w:rPr>
          <w:color w:val="000000"/>
          <w:sz w:val="20"/>
          <w:szCs w:val="20"/>
          <w:rtl w:val="0"/>
        </w:rPr>
        <w:t xml:space="preserve">. Phytoparasitica 28, 121-130. doi: 10.1007/BF02981741.</w:t>
      </w:r>
      <w:r w:rsidDel="00000000" w:rsidR="00000000" w:rsidRPr="00000000">
        <w:rPr>
          <w:rtl w:val="0"/>
        </w:rPr>
      </w:r>
    </w:p>
    <w:p w:rsidR="00000000" w:rsidDel="00000000" w:rsidP="00000000" w:rsidRDefault="00000000" w:rsidRPr="00000000" w14:paraId="0000008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ks91sidolzb" w:id="13"/>
      <w:bookmarkEnd w:id="13"/>
      <w:r w:rsidDel="00000000" w:rsidR="00000000" w:rsidRPr="00000000">
        <w:rPr>
          <w:rtl w:val="0"/>
        </w:rPr>
      </w:r>
    </w:p>
    <w:p w:rsidR="00000000" w:rsidDel="00000000" w:rsidP="00000000" w:rsidRDefault="00000000" w:rsidRPr="00000000" w14:paraId="0000008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517pbbcyec3a" w:id="14"/>
      <w:bookmarkEnd w:id="14"/>
      <w:r w:rsidDel="00000000" w:rsidR="00000000" w:rsidRPr="00000000">
        <w:rPr>
          <w:rtl w:val="0"/>
        </w:rPr>
      </w:r>
    </w:p>
    <w:p w:rsidR="00000000" w:rsidDel="00000000" w:rsidP="00000000" w:rsidRDefault="00000000" w:rsidRPr="00000000" w14:paraId="00000085">
      <w:pPr>
        <w:spacing w:line="276" w:lineRule="auto"/>
        <w:rPr>
          <w:sz w:val="24"/>
          <w:szCs w:val="24"/>
        </w:rPr>
      </w:pPr>
      <w:r w:rsidDel="00000000" w:rsidR="00000000" w:rsidRPr="00000000">
        <w:rPr>
          <w:rtl w:val="0"/>
        </w:rPr>
      </w:r>
    </w:p>
    <w:p w:rsidR="00000000" w:rsidDel="00000000" w:rsidP="00000000" w:rsidRDefault="00000000" w:rsidRPr="00000000" w14:paraId="00000086">
      <w:pPr>
        <w:spacing w:line="276" w:lineRule="auto"/>
        <w:rPr>
          <w:sz w:val="24"/>
          <w:szCs w:val="24"/>
        </w:rPr>
      </w:pPr>
      <w:r w:rsidDel="00000000" w:rsidR="00000000" w:rsidRPr="00000000">
        <w:rPr>
          <w:rtl w:val="0"/>
        </w:rPr>
      </w:r>
    </w:p>
    <w:p w:rsidR="00000000" w:rsidDel="00000000" w:rsidP="00000000" w:rsidRDefault="00000000" w:rsidRPr="00000000" w14:paraId="00000087">
      <w:pPr>
        <w:spacing w:line="276" w:lineRule="auto"/>
        <w:rPr>
          <w:sz w:val="24"/>
          <w:szCs w:val="24"/>
        </w:rPr>
      </w:pPr>
      <w:r w:rsidDel="00000000" w:rsidR="00000000" w:rsidRPr="00000000">
        <w:rPr>
          <w:rtl w:val="0"/>
        </w:rPr>
      </w:r>
    </w:p>
    <w:p w:rsidR="00000000" w:rsidDel="00000000" w:rsidP="00000000" w:rsidRDefault="00000000" w:rsidRPr="00000000" w14:paraId="00000088">
      <w:pPr>
        <w:spacing w:line="276" w:lineRule="auto"/>
        <w:rPr>
          <w:sz w:val="24"/>
          <w:szCs w:val="24"/>
        </w:rPr>
      </w:pPr>
      <w:r w:rsidDel="00000000" w:rsidR="00000000" w:rsidRPr="00000000">
        <w:rPr>
          <w:rtl w:val="0"/>
        </w:rPr>
      </w:r>
    </w:p>
    <w:p w:rsidR="00000000" w:rsidDel="00000000" w:rsidP="00000000" w:rsidRDefault="00000000" w:rsidRPr="00000000" w14:paraId="00000089">
      <w:pPr>
        <w:spacing w:line="276" w:lineRule="auto"/>
        <w:rPr>
          <w:sz w:val="24"/>
          <w:szCs w:val="24"/>
        </w:rPr>
      </w:pPr>
      <w:r w:rsidDel="00000000" w:rsidR="00000000" w:rsidRPr="00000000">
        <w:rPr>
          <w:rtl w:val="0"/>
        </w:rPr>
      </w:r>
    </w:p>
    <w:p w:rsidR="00000000" w:rsidDel="00000000" w:rsidP="00000000" w:rsidRDefault="00000000" w:rsidRPr="00000000" w14:paraId="0000008A">
      <w:pPr>
        <w:spacing w:line="276" w:lineRule="auto"/>
        <w:rPr>
          <w:sz w:val="24"/>
          <w:szCs w:val="24"/>
        </w:rPr>
      </w:pPr>
      <w:r w:rsidDel="00000000" w:rsidR="00000000" w:rsidRPr="00000000">
        <w:rPr>
          <w:rtl w:val="0"/>
        </w:rPr>
      </w:r>
    </w:p>
    <w:p w:rsidR="00000000" w:rsidDel="00000000" w:rsidP="00000000" w:rsidRDefault="00000000" w:rsidRPr="00000000" w14:paraId="0000008B">
      <w:pPr>
        <w:spacing w:line="276" w:lineRule="auto"/>
        <w:rPr>
          <w:sz w:val="24"/>
          <w:szCs w:val="24"/>
        </w:rPr>
      </w:pPr>
      <w:r w:rsidDel="00000000" w:rsidR="00000000" w:rsidRPr="00000000">
        <w:rPr>
          <w:rtl w:val="0"/>
        </w:rPr>
      </w:r>
    </w:p>
    <w:p w:rsidR="00000000" w:rsidDel="00000000" w:rsidP="00000000" w:rsidRDefault="00000000" w:rsidRPr="00000000" w14:paraId="0000008C">
      <w:pPr>
        <w:spacing w:line="276" w:lineRule="auto"/>
        <w:rPr>
          <w:sz w:val="24"/>
          <w:szCs w:val="24"/>
        </w:rPr>
      </w:pPr>
      <w:r w:rsidDel="00000000" w:rsidR="00000000" w:rsidRPr="00000000">
        <w:rPr>
          <w:rtl w:val="0"/>
        </w:rPr>
      </w:r>
    </w:p>
    <w:p w:rsidR="00000000" w:rsidDel="00000000" w:rsidP="00000000" w:rsidRDefault="00000000" w:rsidRPr="00000000" w14:paraId="0000008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rlfkcmteg1ip" w:id="15"/>
      <w:bookmarkEnd w:id="15"/>
      <w:r w:rsidDel="00000000" w:rsidR="00000000" w:rsidRPr="00000000">
        <w:rPr>
          <w:rtl w:val="0"/>
        </w:rPr>
      </w:r>
    </w:p>
    <w:p w:rsidR="00000000" w:rsidDel="00000000" w:rsidP="00000000" w:rsidRDefault="00000000" w:rsidRPr="00000000" w14:paraId="0000008E">
      <w:pPr>
        <w:spacing w:line="276" w:lineRule="auto"/>
        <w:rPr>
          <w:sz w:val="24"/>
          <w:szCs w:val="24"/>
        </w:rPr>
      </w:pPr>
      <w:r w:rsidDel="00000000" w:rsidR="00000000" w:rsidRPr="00000000">
        <w:rPr>
          <w:rtl w:val="0"/>
        </w:rPr>
      </w:r>
    </w:p>
    <w:p w:rsidR="00000000" w:rsidDel="00000000" w:rsidP="00000000" w:rsidRDefault="00000000" w:rsidRPr="00000000" w14:paraId="0000008F">
      <w:pPr>
        <w:spacing w:line="276" w:lineRule="auto"/>
        <w:rPr>
          <w:sz w:val="24"/>
          <w:szCs w:val="24"/>
        </w:rPr>
      </w:pPr>
      <w:r w:rsidDel="00000000" w:rsidR="00000000" w:rsidRPr="00000000">
        <w:rPr>
          <w:rtl w:val="0"/>
        </w:rPr>
      </w:r>
    </w:p>
    <w:p w:rsidR="00000000" w:rsidDel="00000000" w:rsidP="00000000" w:rsidRDefault="00000000" w:rsidRPr="00000000" w14:paraId="00000090">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76" w:lineRule="auto"/>
        <w:ind w:left="0" w:right="0" w:firstLine="0"/>
        <w:jc w:val="left"/>
        <w:rPr>
          <w:b w:val="1"/>
          <w:sz w:val="28"/>
          <w:szCs w:val="28"/>
        </w:rPr>
      </w:pPr>
      <w:bookmarkStart w:colFirst="0" w:colLast="0" w:name="_heading=h.sxi0roqkzt3z" w:id="16"/>
      <w:bookmarkEnd w:id="16"/>
      <w:r w:rsidDel="00000000" w:rsidR="00000000" w:rsidRPr="00000000">
        <w:rPr>
          <w:b w:val="1"/>
          <w:sz w:val="28"/>
          <w:szCs w:val="28"/>
          <w:rtl w:val="0"/>
        </w:rPr>
        <w:t xml:space="preserve">3. Anexo: Figuras</w:t>
      </w:r>
    </w:p>
    <w:p w:rsidR="00000000" w:rsidDel="00000000" w:rsidP="00000000" w:rsidRDefault="00000000" w:rsidRPr="00000000" w14:paraId="00000091">
      <w:pPr>
        <w:jc w:val="center"/>
        <w:rPr/>
      </w:pPr>
      <w:r w:rsidDel="00000000" w:rsidR="00000000" w:rsidRPr="00000000">
        <w:rPr>
          <w:b w:val="1"/>
          <w:sz w:val="20"/>
          <w:szCs w:val="20"/>
        </w:rPr>
        <w:drawing>
          <wp:inline distB="0" distT="0" distL="0" distR="0">
            <wp:extent cx="5550667" cy="4031296"/>
            <wp:effectExtent b="0" l="0" r="0" t="0"/>
            <wp:docPr id="2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550667" cy="4031296"/>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b w:val="1"/>
          <w:sz w:val="36"/>
          <w:szCs w:val="36"/>
        </w:rPr>
      </w:pPr>
      <w:r w:rsidDel="00000000" w:rsidR="00000000" w:rsidRPr="00000000">
        <w:rPr>
          <w:b w:val="1"/>
          <w:sz w:val="20"/>
          <w:szCs w:val="20"/>
          <w:rtl w:val="0"/>
        </w:rPr>
        <w:t xml:space="preserve">Figura 1:</w:t>
      </w:r>
      <w:r w:rsidDel="00000000" w:rsidR="00000000" w:rsidRPr="00000000">
        <w:rPr>
          <w:sz w:val="20"/>
          <w:szCs w:val="20"/>
          <w:rtl w:val="0"/>
        </w:rPr>
        <w:t xml:space="preserve"> Ciclo de la enfermedad de </w:t>
      </w:r>
      <w:r w:rsidDel="00000000" w:rsidR="00000000" w:rsidRPr="00000000">
        <w:rPr>
          <w:i w:val="1"/>
          <w:sz w:val="20"/>
          <w:szCs w:val="20"/>
          <w:rtl w:val="0"/>
        </w:rPr>
        <w:t xml:space="preserve">Magnaporthiopsis maydis </w:t>
      </w:r>
      <w:r w:rsidDel="00000000" w:rsidR="00000000" w:rsidRPr="00000000">
        <w:rPr>
          <w:sz w:val="20"/>
          <w:szCs w:val="20"/>
          <w:rtl w:val="0"/>
        </w:rPr>
        <w:t xml:space="preserve">(Replicado de DEGANI, Ofir, 2021).</w:t>
      </w:r>
      <w:r w:rsidDel="00000000" w:rsidR="00000000" w:rsidRPr="00000000">
        <w:br w:type="page"/>
      </w:r>
      <w:r w:rsidDel="00000000" w:rsidR="00000000" w:rsidRPr="00000000">
        <w:rPr>
          <w:rtl w:val="0"/>
        </w:rPr>
      </w:r>
    </w:p>
    <w:p w:rsidR="00000000" w:rsidDel="00000000" w:rsidP="00000000" w:rsidRDefault="00000000" w:rsidRPr="00000000" w14:paraId="00000093">
      <w:pPr>
        <w:spacing w:line="240" w:lineRule="auto"/>
        <w:jc w:val="both"/>
        <w:rPr>
          <w:sz w:val="24"/>
          <w:szCs w:val="24"/>
        </w:rPr>
      </w:pP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rPr>
          <w:color w:val="000000"/>
        </w:rPr>
        <w:drawing>
          <wp:inline distB="0" distT="0" distL="0" distR="0">
            <wp:extent cx="5305425" cy="3623290"/>
            <wp:effectExtent b="0" l="0" r="0" t="0"/>
            <wp:docPr descr="https://lh4.googleusercontent.com/4x9ujlX6-kpz8KgagHwNxJPC5Q0S1Jeoj-xAmqiYy1-CcNQ0HOGYeZIiUNaglZnjvbtAApiKUgeEzMb6Wk7okInuQ8hG7PMhZmLB1KyJhS7KHugJXvMcaFOxSEP2FhIxXBwmlbNYKH2IioI--TLaVg" id="24" name="image6.png"/>
            <a:graphic>
              <a:graphicData uri="http://schemas.openxmlformats.org/drawingml/2006/picture">
                <pic:pic>
                  <pic:nvPicPr>
                    <pic:cNvPr descr="https://lh4.googleusercontent.com/4x9ujlX6-kpz8KgagHwNxJPC5Q0S1Jeoj-xAmqiYy1-CcNQ0HOGYeZIiUNaglZnjvbtAApiKUgeEzMb6Wk7okInuQ8hG7PMhZmLB1KyJhS7KHugJXvMcaFOxSEP2FhIxXBwmlbNYKH2IioI--TLaVg" id="0" name="image6.png"/>
                    <pic:cNvPicPr preferRelativeResize="0"/>
                  </pic:nvPicPr>
                  <pic:blipFill>
                    <a:blip r:embed="rId12"/>
                    <a:srcRect b="0" l="0" r="0" t="0"/>
                    <a:stretch>
                      <a:fillRect/>
                    </a:stretch>
                  </pic:blipFill>
                  <pic:spPr>
                    <a:xfrm>
                      <a:off x="0" y="0"/>
                      <a:ext cx="5305425" cy="362329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both"/>
        <w:rPr>
          <w:sz w:val="20"/>
          <w:szCs w:val="20"/>
        </w:rPr>
      </w:pPr>
      <w:r w:rsidDel="00000000" w:rsidR="00000000" w:rsidRPr="00000000">
        <w:rPr>
          <w:b w:val="1"/>
          <w:sz w:val="20"/>
          <w:szCs w:val="20"/>
          <w:rtl w:val="0"/>
        </w:rPr>
        <w:t xml:space="preserve">Figura 2: </w:t>
      </w:r>
      <w:r w:rsidDel="00000000" w:rsidR="00000000" w:rsidRPr="00000000">
        <w:rPr>
          <w:sz w:val="20"/>
          <w:szCs w:val="20"/>
          <w:rtl w:val="0"/>
        </w:rPr>
        <w:t xml:space="preserve">Síntomas de la marchitez tardía del maíz. A) Avance de la marchitez en la superficie de una hoja; B) Progreso de la enfermedad desde las hojas inferiores hasta las superiores de la planta; C) Estriado en entrenudos basales del tallo; D) Secado y ahuecado en tallo de maíz; E) Plantas de una variedad susceptible a </w:t>
      </w:r>
      <w:r w:rsidDel="00000000" w:rsidR="00000000" w:rsidRPr="00000000">
        <w:rPr>
          <w:i w:val="1"/>
          <w:sz w:val="20"/>
          <w:szCs w:val="20"/>
          <w:rtl w:val="0"/>
        </w:rPr>
        <w:t xml:space="preserve">Harpophora  maydis</w:t>
      </w:r>
      <w:r w:rsidDel="00000000" w:rsidR="00000000" w:rsidRPr="00000000">
        <w:rPr>
          <w:sz w:val="20"/>
          <w:szCs w:val="20"/>
          <w:rtl w:val="0"/>
        </w:rPr>
        <w:t xml:space="preserve"> (izquierda) y de otra resistente (derecha); F) Mazorcas de plantas infectadas por </w:t>
      </w:r>
      <w:r w:rsidDel="00000000" w:rsidR="00000000" w:rsidRPr="00000000">
        <w:rPr>
          <w:i w:val="1"/>
          <w:sz w:val="20"/>
          <w:szCs w:val="20"/>
          <w:rtl w:val="0"/>
        </w:rPr>
        <w:t xml:space="preserve">Harpophora  maydis</w:t>
      </w:r>
      <w:r w:rsidDel="00000000" w:rsidR="00000000" w:rsidRPr="00000000">
        <w:rPr>
          <w:sz w:val="20"/>
          <w:szCs w:val="20"/>
          <w:rtl w:val="0"/>
        </w:rPr>
        <w:t xml:space="preserve"> (arriba) y de plantas sanas (abajo) (Ortiz Bustos, 2017).</w:t>
      </w:r>
    </w:p>
    <w:p w:rsidR="00000000" w:rsidDel="00000000" w:rsidP="00000000" w:rsidRDefault="00000000" w:rsidRPr="00000000" w14:paraId="00000096">
      <w:pPr>
        <w:spacing w:line="240" w:lineRule="auto"/>
        <w:rPr>
          <w:b w:val="1"/>
          <w:sz w:val="24"/>
          <w:szCs w:val="24"/>
        </w:rPr>
      </w:pPr>
      <w:r w:rsidDel="00000000" w:rsidR="00000000" w:rsidRPr="00000000">
        <w:rPr>
          <w:rtl w:val="0"/>
        </w:rPr>
      </w:r>
    </w:p>
    <w:p w:rsidR="00000000" w:rsidDel="00000000" w:rsidP="00000000" w:rsidRDefault="00000000" w:rsidRPr="00000000" w14:paraId="00000097">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line="240" w:lineRule="auto"/>
        <w:jc w:val="center"/>
        <w:rPr>
          <w:sz w:val="24"/>
          <w:szCs w:val="24"/>
        </w:rPr>
      </w:pPr>
      <w:r w:rsidDel="00000000" w:rsidR="00000000" w:rsidRPr="00000000">
        <w:rPr/>
        <w:drawing>
          <wp:inline distB="0" distT="0" distL="0" distR="0">
            <wp:extent cx="4127859" cy="2865220"/>
            <wp:effectExtent b="0" l="0" r="0" t="0"/>
            <wp:docPr descr="Cefalosporiosis del maíz | Plagas y enfermedades" id="27" name="image8.jpg"/>
            <a:graphic>
              <a:graphicData uri="http://schemas.openxmlformats.org/drawingml/2006/picture">
                <pic:pic>
                  <pic:nvPicPr>
                    <pic:cNvPr descr="Cefalosporiosis del maíz | Plagas y enfermedades" id="0" name="image8.jpg"/>
                    <pic:cNvPicPr preferRelativeResize="0"/>
                  </pic:nvPicPr>
                  <pic:blipFill>
                    <a:blip r:embed="rId13"/>
                    <a:srcRect b="0" l="0" r="0" t="0"/>
                    <a:stretch>
                      <a:fillRect/>
                    </a:stretch>
                  </pic:blipFill>
                  <pic:spPr>
                    <a:xfrm>
                      <a:off x="0" y="0"/>
                      <a:ext cx="4127859" cy="286522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40" w:lineRule="auto"/>
        <w:rPr>
          <w:sz w:val="20"/>
          <w:szCs w:val="20"/>
        </w:rPr>
      </w:pPr>
      <w:r w:rsidDel="00000000" w:rsidR="00000000" w:rsidRPr="00000000">
        <w:rPr>
          <w:b w:val="1"/>
          <w:sz w:val="20"/>
          <w:szCs w:val="20"/>
          <w:rtl w:val="0"/>
        </w:rPr>
        <w:t xml:space="preserve">Figura 3: </w:t>
      </w:r>
      <w:r w:rsidDel="00000000" w:rsidR="00000000" w:rsidRPr="00000000">
        <w:rPr>
          <w:sz w:val="20"/>
          <w:szCs w:val="20"/>
          <w:rtl w:val="0"/>
        </w:rPr>
        <w:t xml:space="preserve">Síntomas de la marchitez tardía del maíz en tallo infectados por </w:t>
      </w:r>
      <w:r w:rsidDel="00000000" w:rsidR="00000000" w:rsidRPr="00000000">
        <w:rPr>
          <w:i w:val="1"/>
          <w:sz w:val="20"/>
          <w:szCs w:val="20"/>
          <w:rtl w:val="0"/>
        </w:rPr>
        <w:t xml:space="preserve">Harpophora maydis</w:t>
      </w:r>
      <w:r w:rsidDel="00000000" w:rsidR="00000000" w:rsidRPr="00000000">
        <w:rPr>
          <w:sz w:val="20"/>
          <w:szCs w:val="20"/>
          <w:rtl w:val="0"/>
        </w:rPr>
        <w:t xml:space="preserve"> (Drori et al., 2013).</w:t>
      </w:r>
    </w:p>
    <w:p w:rsidR="00000000" w:rsidDel="00000000" w:rsidP="00000000" w:rsidRDefault="00000000" w:rsidRPr="00000000" w14:paraId="0000009A">
      <w:pPr>
        <w:spacing w:line="240" w:lineRule="auto"/>
        <w:rPr>
          <w:sz w:val="24"/>
          <w:szCs w:val="24"/>
        </w:rPr>
      </w:pPr>
      <w:r w:rsidDel="00000000" w:rsidR="00000000" w:rsidRPr="00000000">
        <w:rPr>
          <w:rtl w:val="0"/>
        </w:rPr>
      </w:r>
    </w:p>
    <w:p w:rsidR="00000000" w:rsidDel="00000000" w:rsidP="00000000" w:rsidRDefault="00000000" w:rsidRPr="00000000" w14:paraId="0000009B">
      <w:pPr>
        <w:spacing w:line="240" w:lineRule="auto"/>
        <w:rPr>
          <w:sz w:val="24"/>
          <w:szCs w:val="24"/>
        </w:rPr>
      </w:pPr>
      <w:r w:rsidDel="00000000" w:rsidR="00000000" w:rsidRPr="00000000">
        <w:rPr>
          <w:rtl w:val="0"/>
        </w:rPr>
      </w:r>
    </w:p>
    <w:p w:rsidR="00000000" w:rsidDel="00000000" w:rsidP="00000000" w:rsidRDefault="00000000" w:rsidRPr="00000000" w14:paraId="0000009C">
      <w:pPr>
        <w:spacing w:line="240" w:lineRule="auto"/>
        <w:rPr>
          <w:sz w:val="24"/>
          <w:szCs w:val="24"/>
        </w:rPr>
      </w:pPr>
      <w:r w:rsidDel="00000000" w:rsidR="00000000" w:rsidRPr="00000000">
        <w:rPr>
          <w:rtl w:val="0"/>
        </w:rPr>
      </w:r>
    </w:p>
    <w:p w:rsidR="00000000" w:rsidDel="00000000" w:rsidP="00000000" w:rsidRDefault="00000000" w:rsidRPr="00000000" w14:paraId="0000009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E">
      <w:pPr>
        <w:spacing w:line="240" w:lineRule="auto"/>
        <w:jc w:val="both"/>
        <w:rPr>
          <w:sz w:val="24"/>
          <w:szCs w:val="24"/>
        </w:rPr>
      </w:pPr>
      <w:r w:rsidDel="00000000" w:rsidR="00000000" w:rsidRPr="00000000">
        <w:rPr>
          <w:rtl w:val="0"/>
        </w:rPr>
      </w:r>
    </w:p>
    <w:p w:rsidR="00000000" w:rsidDel="00000000" w:rsidP="00000000" w:rsidRDefault="00000000" w:rsidRPr="00000000" w14:paraId="0000009F">
      <w:pPr>
        <w:spacing w:line="240" w:lineRule="auto"/>
        <w:jc w:val="center"/>
        <w:rPr>
          <w:sz w:val="24"/>
          <w:szCs w:val="24"/>
        </w:rPr>
      </w:pPr>
      <w:r w:rsidDel="00000000" w:rsidR="00000000" w:rsidRPr="00000000">
        <w:rPr>
          <w:color w:val="000000"/>
        </w:rPr>
        <w:drawing>
          <wp:inline distB="0" distT="0" distL="0" distR="0">
            <wp:extent cx="3234098" cy="2718932"/>
            <wp:effectExtent b="0" l="0" r="0" t="0"/>
            <wp:docPr descr="Figure 2. Testing Koch’s postulates for Harpophora maydis in a pathogenicity test. Severe disease symptoms appeared in maize plants grown in inoculated soil (B), while in non-inoculated soil (A) the plants developed normally, photographed 61 d after sowing; C, disease symptoms appearing on the stem as seen from the side (diseased plant on the right) and in cross section (diseased plant in lower section)." id="26" name="image1.jpg"/>
            <a:graphic>
              <a:graphicData uri="http://schemas.openxmlformats.org/drawingml/2006/picture">
                <pic:pic>
                  <pic:nvPicPr>
                    <pic:cNvPr descr="Figure 2. Testing Koch’s postulates for Harpophora maydis in a pathogenicity test. Severe disease symptoms appeared in maize plants grown in inoculated soil (B), while in non-inoculated soil (A) the plants developed normally, photographed 61 d after sowing; C, disease symptoms appearing on the stem as seen from the side (diseased plant on the right) and in cross section (diseased plant in lower section)." id="0" name="image1.jpg"/>
                    <pic:cNvPicPr preferRelativeResize="0"/>
                  </pic:nvPicPr>
                  <pic:blipFill>
                    <a:blip r:embed="rId14"/>
                    <a:srcRect b="2488" l="0" r="33703" t="52007"/>
                    <a:stretch>
                      <a:fillRect/>
                    </a:stretch>
                  </pic:blipFill>
                  <pic:spPr>
                    <a:xfrm>
                      <a:off x="0" y="0"/>
                      <a:ext cx="3234098" cy="271893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both"/>
        <w:rPr>
          <w:sz w:val="20"/>
          <w:szCs w:val="20"/>
        </w:rPr>
      </w:pPr>
      <w:r w:rsidDel="00000000" w:rsidR="00000000" w:rsidRPr="00000000">
        <w:rPr>
          <w:b w:val="1"/>
          <w:sz w:val="20"/>
          <w:szCs w:val="20"/>
          <w:rtl w:val="0"/>
        </w:rPr>
        <w:t xml:space="preserve">Figura 4: </w:t>
      </w:r>
      <w:r w:rsidDel="00000000" w:rsidR="00000000" w:rsidRPr="00000000">
        <w:rPr>
          <w:sz w:val="20"/>
          <w:szCs w:val="20"/>
          <w:rtl w:val="0"/>
        </w:rPr>
        <w:t xml:space="preserve">Síntomas de la marchitez tardía del maíz en mazorcas infectadas por </w:t>
      </w:r>
      <w:r w:rsidDel="00000000" w:rsidR="00000000" w:rsidRPr="00000000">
        <w:rPr>
          <w:i w:val="1"/>
          <w:sz w:val="20"/>
          <w:szCs w:val="20"/>
          <w:rtl w:val="0"/>
        </w:rPr>
        <w:t xml:space="preserve">Magnaporthiopsis maydis</w:t>
      </w:r>
      <w:r w:rsidDel="00000000" w:rsidR="00000000" w:rsidRPr="00000000">
        <w:rPr>
          <w:sz w:val="20"/>
          <w:szCs w:val="20"/>
          <w:rtl w:val="0"/>
        </w:rPr>
        <w:t xml:space="preserve"> (Plantix, 2022)</w:t>
      </w:r>
    </w:p>
    <w:p w:rsidR="00000000" w:rsidDel="00000000" w:rsidP="00000000" w:rsidRDefault="00000000" w:rsidRPr="00000000" w14:paraId="000000A1">
      <w:pPr>
        <w:rPr>
          <w:b w:val="1"/>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00" w:line="240" w:lineRule="auto"/>
        <w:jc w:val="center"/>
        <w:rPr>
          <w:sz w:val="24"/>
          <w:szCs w:val="24"/>
        </w:rPr>
      </w:pPr>
      <w:r w:rsidDel="00000000" w:rsidR="00000000" w:rsidRPr="00000000">
        <w:rPr>
          <w:color w:val="000000"/>
        </w:rPr>
        <w:drawing>
          <wp:inline distB="0" distT="0" distL="0" distR="0">
            <wp:extent cx="2115047" cy="3133724"/>
            <wp:effectExtent b="0" l="0" r="0" t="0"/>
            <wp:docPr descr="Figure 1. Late wilt disease symptoms in Israel. (a) Late wilt diseased field symptoms: drying out ascends upwards in the plant, including leaf yellowing and dehydration, and color alteration of the lower stem and internode. Wilted Jubilee cv. plants photographed in the southern area (No. 10) of a maize field in Kibbutz Naot Mordechai in the Hula Valley (Upper Galilee, northern Israel) 75 d after sowing (28/6/08, 15 days after fertilization). (b) Color alteration of the vascular bundles to a yellow-brown hue seen in the longitudinal section of a stream from a late wilt diseased maize plant (left) and a healthy maize plant (right). (c) Cross-section of the same plants. (d) Late wilt infected maize cob leaves. Photograph was taken 17 days after fertilization (7/7/09, 77 days after sowing). (e) Late wilt diseased poorly developed maize cob. images were photographed by Ran Drori and Tsafrir Weinberg." id="29" name="image7.png"/>
            <a:graphic>
              <a:graphicData uri="http://schemas.openxmlformats.org/drawingml/2006/picture">
                <pic:pic>
                  <pic:nvPicPr>
                    <pic:cNvPr descr="Figure 1. Late wilt disease symptoms in Israel. (a) Late wilt diseased field symptoms: drying out ascends upwards in the plant, including leaf yellowing and dehydration, and color alteration of the lower stem and internode. Wilted Jubilee cv. plants photographed in the southern area (No. 10) of a maize field in Kibbutz Naot Mordechai in the Hula Valley (Upper Galilee, northern Israel) 75 d after sowing (28/6/08, 15 days after fertilization). (b) Color alteration of the vascular bundles to a yellow-brown hue seen in the longitudinal section of a stream from a late wilt diseased maize plant (left) and a healthy maize plant (right). (c) Cross-section of the same plants. (d) Late wilt infected maize cob leaves. Photograph was taken 17 days after fertilization (7/7/09, 77 days after sowing). (e) Late wilt diseased poorly developed maize cob. images were photographed by Ran Drori and Tsafrir Weinberg." id="0" name="image7.png"/>
                    <pic:cNvPicPr preferRelativeResize="0"/>
                  </pic:nvPicPr>
                  <pic:blipFill>
                    <a:blip r:embed="rId15"/>
                    <a:srcRect b="4467" l="0" r="62214" t="38415"/>
                    <a:stretch>
                      <a:fillRect/>
                    </a:stretch>
                  </pic:blipFill>
                  <pic:spPr>
                    <a:xfrm>
                      <a:off x="0" y="0"/>
                      <a:ext cx="2115047" cy="3133724"/>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both"/>
        <w:rPr>
          <w:sz w:val="20"/>
          <w:szCs w:val="20"/>
        </w:rPr>
      </w:pPr>
      <w:r w:rsidDel="00000000" w:rsidR="00000000" w:rsidRPr="00000000">
        <w:rPr>
          <w:b w:val="1"/>
          <w:sz w:val="20"/>
          <w:szCs w:val="20"/>
          <w:rtl w:val="0"/>
        </w:rPr>
        <w:t xml:space="preserve">Figura 5:</w:t>
      </w:r>
      <w:r w:rsidDel="00000000" w:rsidR="00000000" w:rsidRPr="00000000">
        <w:rPr>
          <w:b w:val="1"/>
          <w:sz w:val="18"/>
          <w:szCs w:val="18"/>
          <w:rtl w:val="0"/>
        </w:rPr>
        <w:t xml:space="preserve"> </w:t>
      </w:r>
      <w:r w:rsidDel="00000000" w:rsidR="00000000" w:rsidRPr="00000000">
        <w:rPr>
          <w:sz w:val="20"/>
          <w:szCs w:val="20"/>
          <w:rtl w:val="0"/>
        </w:rPr>
        <w:t xml:space="preserve">Síntomas internos del tejido vascular de planta de maíz, causados por </w:t>
      </w:r>
      <w:r w:rsidDel="00000000" w:rsidR="00000000" w:rsidRPr="00000000">
        <w:rPr>
          <w:i w:val="1"/>
          <w:sz w:val="20"/>
          <w:szCs w:val="20"/>
          <w:rtl w:val="0"/>
        </w:rPr>
        <w:t xml:space="preserve">Harpophora maydis</w:t>
      </w:r>
      <w:r w:rsidDel="00000000" w:rsidR="00000000" w:rsidRPr="00000000">
        <w:rPr>
          <w:sz w:val="20"/>
          <w:szCs w:val="20"/>
          <w:rtl w:val="0"/>
        </w:rPr>
        <w:t xml:space="preserve"> (Degani y Cernica, 2014).</w:t>
      </w:r>
    </w:p>
    <w:p w:rsidR="00000000" w:rsidDel="00000000" w:rsidP="00000000" w:rsidRDefault="00000000" w:rsidRPr="00000000" w14:paraId="000000A5">
      <w:pPr>
        <w:spacing w:line="240" w:lineRule="auto"/>
        <w:jc w:val="center"/>
        <w:rPr>
          <w:sz w:val="24"/>
          <w:szCs w:val="24"/>
        </w:rPr>
      </w:pPr>
      <w:r w:rsidDel="00000000" w:rsidR="00000000" w:rsidRPr="00000000">
        <w:rPr>
          <w:rtl w:val="0"/>
        </w:rPr>
      </w:r>
    </w:p>
    <w:p w:rsidR="00000000" w:rsidDel="00000000" w:rsidP="00000000" w:rsidRDefault="00000000" w:rsidRPr="00000000" w14:paraId="000000A6">
      <w:pPr>
        <w:spacing w:line="240" w:lineRule="auto"/>
        <w:jc w:val="center"/>
        <w:rPr>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00" w:line="240" w:lineRule="auto"/>
        <w:jc w:val="center"/>
        <w:rPr>
          <w:sz w:val="18"/>
          <w:szCs w:val="18"/>
        </w:rPr>
      </w:pPr>
      <w:r w:rsidDel="00000000" w:rsidR="00000000" w:rsidRPr="00000000">
        <w:rPr>
          <w:sz w:val="18"/>
          <w:szCs w:val="18"/>
        </w:rPr>
        <w:drawing>
          <wp:inline distB="0" distT="0" distL="0" distR="0">
            <wp:extent cx="5280656" cy="2251900"/>
            <wp:effectExtent b="0" l="0" r="0" t="0"/>
            <wp:docPr id="2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280656" cy="22519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200" w:line="240" w:lineRule="auto"/>
        <w:jc w:val="both"/>
        <w:rPr>
          <w:sz w:val="20"/>
          <w:szCs w:val="20"/>
        </w:rPr>
      </w:pPr>
      <w:r w:rsidDel="00000000" w:rsidR="00000000" w:rsidRPr="00000000">
        <w:rPr>
          <w:b w:val="1"/>
          <w:sz w:val="20"/>
          <w:szCs w:val="20"/>
          <w:rtl w:val="0"/>
        </w:rPr>
        <w:t xml:space="preserve">Figura 6</w:t>
      </w:r>
      <w:r w:rsidDel="00000000" w:rsidR="00000000" w:rsidRPr="00000000">
        <w:rPr>
          <w:sz w:val="20"/>
          <w:szCs w:val="20"/>
          <w:rtl w:val="0"/>
        </w:rPr>
        <w:t xml:space="preserve">: Vista aérea de los síntomas de </w:t>
      </w:r>
      <w:r w:rsidDel="00000000" w:rsidR="00000000" w:rsidRPr="00000000">
        <w:rPr>
          <w:i w:val="1"/>
          <w:sz w:val="20"/>
          <w:szCs w:val="20"/>
          <w:rtl w:val="0"/>
        </w:rPr>
        <w:t xml:space="preserve">Magnaporthiopsis maydis</w:t>
      </w:r>
      <w:r w:rsidDel="00000000" w:rsidR="00000000" w:rsidRPr="00000000">
        <w:rPr>
          <w:sz w:val="20"/>
          <w:szCs w:val="20"/>
          <w:rtl w:val="0"/>
        </w:rPr>
        <w:t xml:space="preserve"> en campos de maíz en Israel. (Fotos replicadas del artículo de DEGANI, Ofir, 2021).</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200" w:line="240" w:lineRule="auto"/>
        <w:jc w:val="center"/>
        <w:rPr>
          <w:sz w:val="18"/>
          <w:szCs w:val="18"/>
        </w:rPr>
      </w:pPr>
      <w:r w:rsidDel="00000000" w:rsidR="00000000" w:rsidRPr="00000000">
        <w:rPr>
          <w:rtl w:val="0"/>
        </w:rPr>
      </w:r>
    </w:p>
    <w:sectPr>
      <w:headerReference r:id="rId17" w:type="default"/>
      <w:headerReference r:id="rId18" w:type="first"/>
      <w:headerReference r:id="rId19" w:type="even"/>
      <w:footerReference r:id="rId20" w:type="default"/>
      <w:pgSz w:h="16820" w:w="11900" w:orient="portrait"/>
      <w:pgMar w:bottom="1536" w:top="1984.251968503937" w:left="1710" w:right="183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spacing w:line="240" w:lineRule="auto"/>
      <w:jc w:val="right"/>
      <w:rPr>
        <w:color w:val="000000"/>
      </w:rPr>
    </w:pPr>
    <w:r w:rsidDel="00000000" w:rsidR="00000000" w:rsidRPr="00000000">
      <w:rPr>
        <w:color w:val="7f7f7f"/>
        <w:sz w:val="18"/>
        <w:szCs w:val="18"/>
        <w:rtl w:val="0"/>
      </w:rPr>
      <w:t xml:space="preserve">Anexo </w:t>
    </w:r>
    <w:r w:rsidDel="00000000" w:rsidR="00000000" w:rsidRPr="00000000">
      <w:rPr>
        <w:i w:val="1"/>
        <w:color w:val="7f7f7f"/>
        <w:sz w:val="18"/>
        <w:szCs w:val="18"/>
        <w:rtl w:val="0"/>
      </w:rPr>
      <w:t xml:space="preserve">Magnaporthiopsis maydis </w:t>
    </w:r>
    <w:r w:rsidDel="00000000" w:rsidR="00000000" w:rsidRPr="00000000">
      <w:rPr>
        <w:color w:val="7f7f7f"/>
        <w:sz w:val="18"/>
        <w:szCs w:val="18"/>
        <w:rtl w:val="0"/>
      </w:rPr>
      <w:t xml:space="preserve">• Plan Piloto Regional para la certificación fitosanitaria de semilla de </w:t>
    </w:r>
    <w:r w:rsidDel="00000000" w:rsidR="00000000" w:rsidRPr="00000000">
      <w:rPr>
        <w:i w:val="1"/>
        <w:color w:val="7f7f7f"/>
        <w:sz w:val="18"/>
        <w:szCs w:val="18"/>
        <w:rtl w:val="0"/>
      </w:rPr>
      <w:t xml:space="preserve">Zea Mays</w:t>
    </w:r>
    <w:r w:rsidDel="00000000" w:rsidR="00000000" w:rsidRPr="00000000">
      <w:rPr>
        <w:color w:val="7f7f7f"/>
        <w:sz w:val="18"/>
        <w:szCs w:val="18"/>
        <w:rtl w:val="0"/>
      </w:rPr>
      <w:t xml:space="preserve"> con uso previsto propagación y propósito experimentación bajo un enfoque de sistemas • COSAVE - página </w:t>
    </w:r>
    <w:r w:rsidDel="00000000" w:rsidR="00000000" w:rsidRPr="00000000">
      <w:rPr>
        <w:color w:val="7f7f7f"/>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-917411</wp:posOffset>
          </wp:positionH>
          <wp:positionV relativeFrom="paragraph">
            <wp:posOffset>123825</wp:posOffset>
          </wp:positionV>
          <wp:extent cx="7143750" cy="1009650"/>
          <wp:effectExtent b="0" l="0" r="0" t="0"/>
          <wp:wrapNone/>
          <wp:docPr id="22" name="image2.png"/>
          <a:graphic>
            <a:graphicData uri="http://schemas.openxmlformats.org/drawingml/2006/picture">
              <pic:pic>
                <pic:nvPicPr>
                  <pic:cNvPr id="0" name="image2.png"/>
                  <pic:cNvPicPr preferRelativeResize="0"/>
                </pic:nvPicPr>
                <pic:blipFill>
                  <a:blip r:embed="rId1"/>
                  <a:srcRect b="0" l="3588" r="3588" t="14516"/>
                  <a:stretch>
                    <a:fillRect/>
                  </a:stretch>
                </pic:blipFill>
                <pic:spPr>
                  <a:xfrm>
                    <a:off x="0" y="0"/>
                    <a:ext cx="7143750" cy="10096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color w:val="000000"/>
      </w:rPr>
      <w:pict>
        <v:shape id="PowerPlusWaterMarkObject1" style="position:absolute;width:490.8pt;height:98.15pt;rotation:315;z-index:-503316481;mso-position-horizontal-relative:margin;mso-position-horizontal:center;mso-position-vertical-relative:margin;mso-position-vertical:center;" fillcolor="#c0c0c0" stroked="f" type="#_x0000_t136">
          <v:fill angle="0" opacity="32768f"/>
          <v:textpath fitshape="t" string="BORRADOR"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E56FF4"/>
    <w:pPr>
      <w:spacing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E56FF4"/>
    <w:rPr>
      <w:rFonts w:ascii="Tahoma" w:cs="Tahoma" w:hAnsi="Tahoma"/>
      <w:sz w:val="16"/>
      <w:szCs w:val="16"/>
    </w:rPr>
  </w:style>
  <w:style w:type="paragraph" w:styleId="Piedepgina">
    <w:name w:val="footer"/>
    <w:basedOn w:val="Normal"/>
    <w:link w:val="PiedepginaCar"/>
    <w:uiPriority w:val="99"/>
    <w:unhideWhenUsed w:val="1"/>
    <w:rsid w:val="00A208A4"/>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A208A4"/>
  </w:style>
  <w:style w:type="character" w:styleId="Hipervnculo">
    <w:name w:val="Hyperlink"/>
    <w:basedOn w:val="Fuentedeprrafopredeter"/>
    <w:uiPriority w:val="99"/>
    <w:unhideWhenUsed w:val="1"/>
    <w:rsid w:val="0099683B"/>
    <w:rPr>
      <w:color w:val="0000ff" w:themeColor="hyperlink"/>
      <w:u w:val="single"/>
    </w:rPr>
  </w:style>
  <w:style w:type="paragraph" w:styleId="TDC1">
    <w:name w:val="toc 1"/>
    <w:basedOn w:val="Normal"/>
    <w:next w:val="Normal"/>
    <w:autoRedefine w:val="1"/>
    <w:uiPriority w:val="39"/>
    <w:unhideWhenUsed w:val="1"/>
    <w:rsid w:val="00230A80"/>
    <w:pPr>
      <w:spacing w:after="100"/>
    </w:pPr>
  </w:style>
  <w:style w:type="paragraph" w:styleId="TDC2">
    <w:name w:val="toc 2"/>
    <w:basedOn w:val="Normal"/>
    <w:next w:val="Normal"/>
    <w:autoRedefine w:val="1"/>
    <w:uiPriority w:val="39"/>
    <w:unhideWhenUsed w:val="1"/>
    <w:rsid w:val="00230A80"/>
    <w:pPr>
      <w:spacing w:after="100"/>
      <w:ind w:left="220"/>
    </w:pPr>
  </w:style>
  <w:style w:type="paragraph" w:styleId="TDC3">
    <w:name w:val="toc 3"/>
    <w:basedOn w:val="Normal"/>
    <w:next w:val="Normal"/>
    <w:autoRedefine w:val="1"/>
    <w:uiPriority w:val="39"/>
    <w:unhideWhenUsed w:val="1"/>
    <w:rsid w:val="00230A80"/>
    <w:pPr>
      <w:spacing w:after="100"/>
      <w:ind w:left="4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hyperlink" Target="https://plantix.net/en/library/plant-diseases/100295/cefalosporiosis-del-maz/" TargetMode="External"/><Relationship Id="rId13" Type="http://schemas.openxmlformats.org/officeDocument/2006/relationships/image" Target="media/image8.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bi.org/isc/datasheet/109285#tohostsOrSpeciesAffected" TargetMode="External"/><Relationship Id="rId15" Type="http://schemas.openxmlformats.org/officeDocument/2006/relationships/image" Target="media/image7.png"/><Relationship Id="rId14" Type="http://schemas.openxmlformats.org/officeDocument/2006/relationships/image" Target="media/image1.jpg"/><Relationship Id="rId17" Type="http://schemas.openxmlformats.org/officeDocument/2006/relationships/header" Target="header2.xm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hyperlink" Target="https://gd.eppo.int/taxon/CPHUM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JKm+USerREjrnrJaCYsXlzzPA==">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2023-04-18T16:15:00Z</dcterms:created>
  <dc:creator>Usuario</dc:creator>
</cp:coreProperties>
</file>