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line="240" w:lineRule="auto"/>
        <w:ind w:left="2561" w:firstLine="0"/>
        <w:rPr>
          <w:color w:val="000000"/>
          <w:sz w:val="24"/>
          <w:szCs w:val="24"/>
        </w:rPr>
      </w:pPr>
      <w:r w:rsidDel="00000000" w:rsidR="00000000" w:rsidRPr="00000000">
        <w:rPr>
          <w:rtl w:val="0"/>
        </w:rPr>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spacing w:before="799" w:line="240" w:lineRule="auto"/>
        <w:jc w:val="center"/>
        <w:rPr>
          <w:i w:val="1"/>
          <w:color w:val="000000"/>
          <w:sz w:val="24"/>
          <w:szCs w:val="24"/>
        </w:rPr>
      </w:pP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799" w:line="240" w:lineRule="auto"/>
        <w:jc w:val="center"/>
        <w:rPr>
          <w:i w:val="1"/>
          <w:color w:val="000000"/>
          <w:sz w:val="24"/>
          <w:szCs w:val="24"/>
        </w:rPr>
      </w:pPr>
      <w:r w:rsidDel="00000000" w:rsidR="00000000" w:rsidRPr="00000000">
        <w:rPr>
          <w:rtl w:val="0"/>
        </w:rPr>
      </w:r>
    </w:p>
    <w:p w:rsidR="00000000" w:rsidDel="00000000" w:rsidP="00000000" w:rsidRDefault="00000000" w:rsidRPr="00000000" w14:paraId="00000006">
      <w:pPr>
        <w:widowControl w:val="0"/>
        <w:pBdr>
          <w:top w:space="0" w:sz="0" w:val="nil"/>
          <w:left w:space="0" w:sz="0" w:val="nil"/>
          <w:bottom w:space="0" w:sz="0" w:val="nil"/>
          <w:right w:space="0" w:sz="0" w:val="nil"/>
          <w:between w:space="0" w:sz="0" w:val="nil"/>
        </w:pBdr>
        <w:spacing w:before="799" w:line="240" w:lineRule="auto"/>
        <w:jc w:val="center"/>
        <w:rPr>
          <w:i w:val="1"/>
          <w:color w:val="000000"/>
          <w:sz w:val="32"/>
          <w:szCs w:val="32"/>
        </w:rPr>
      </w:pPr>
      <w:r w:rsidDel="00000000" w:rsidR="00000000" w:rsidRPr="00000000">
        <w:rPr>
          <w:color w:val="000000"/>
          <w:sz w:val="24"/>
          <w:szCs w:val="24"/>
        </w:rPr>
        <w:drawing>
          <wp:inline distB="0" distT="0" distL="0" distR="0">
            <wp:extent cx="2129558" cy="1927860"/>
            <wp:effectExtent b="0" l="0" r="0" t="0"/>
            <wp:docPr descr="C:\Users\Usuario\AppData\Local\Microsoft\Windows\INetCache\Content.Word\COSAVE - Logo.png" id="190" name="image1.png"/>
            <a:graphic>
              <a:graphicData uri="http://schemas.openxmlformats.org/drawingml/2006/picture">
                <pic:pic>
                  <pic:nvPicPr>
                    <pic:cNvPr descr="C:\Users\Usuario\AppData\Local\Microsoft\Windows\INetCache\Content.Word\COSAVE - Logo.png" id="0" name="image1.png"/>
                    <pic:cNvPicPr preferRelativeResize="0"/>
                  </pic:nvPicPr>
                  <pic:blipFill>
                    <a:blip r:embed="rId7"/>
                    <a:srcRect b="0" l="19" r="19" t="0"/>
                    <a:stretch>
                      <a:fillRect/>
                    </a:stretch>
                  </pic:blipFill>
                  <pic:spPr>
                    <a:xfrm>
                      <a:off x="0" y="0"/>
                      <a:ext cx="2129558" cy="192786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240" w:lineRule="auto"/>
        <w:jc w:val="center"/>
        <w:rPr>
          <w:b w:val="1"/>
          <w:i w:val="1"/>
          <w:sz w:val="32"/>
          <w:szCs w:val="32"/>
        </w:rPr>
      </w:pPr>
      <w:r w:rsidDel="00000000" w:rsidR="00000000" w:rsidRPr="00000000">
        <w:rPr>
          <w:rtl w:val="0"/>
        </w:rPr>
      </w:r>
    </w:p>
    <w:p w:rsidR="00000000" w:rsidDel="00000000" w:rsidP="00000000" w:rsidRDefault="00000000" w:rsidRPr="00000000" w14:paraId="00000008">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9">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A">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B">
      <w:pPr>
        <w:spacing w:line="240" w:lineRule="auto"/>
        <w:jc w:val="center"/>
        <w:rPr>
          <w:b w:val="1"/>
          <w:sz w:val="32"/>
          <w:szCs w:val="32"/>
        </w:rPr>
      </w:pPr>
      <w:r w:rsidDel="00000000" w:rsidR="00000000" w:rsidRPr="00000000">
        <w:rPr>
          <w:b w:val="1"/>
          <w:sz w:val="32"/>
          <w:szCs w:val="32"/>
          <w:rtl w:val="0"/>
        </w:rPr>
        <w:t xml:space="preserve">13. Anexo: Plagas reglamentadas</w:t>
      </w:r>
    </w:p>
    <w:p w:rsidR="00000000" w:rsidDel="00000000" w:rsidP="00000000" w:rsidRDefault="00000000" w:rsidRPr="00000000" w14:paraId="0000000C">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D">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E">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F">
      <w:pPr>
        <w:spacing w:line="240" w:lineRule="auto"/>
        <w:jc w:val="center"/>
        <w:rPr>
          <w:b w:val="1"/>
          <w:sz w:val="32"/>
          <w:szCs w:val="32"/>
        </w:rPr>
      </w:pPr>
      <w:r w:rsidDel="00000000" w:rsidR="00000000" w:rsidRPr="00000000">
        <w:rPr>
          <w:b w:val="1"/>
          <w:i w:val="1"/>
          <w:sz w:val="32"/>
          <w:szCs w:val="32"/>
          <w:rtl w:val="0"/>
        </w:rPr>
        <w:t xml:space="preserve">Pantoea stewartii </w:t>
      </w:r>
      <w:r w:rsidDel="00000000" w:rsidR="00000000" w:rsidRPr="00000000">
        <w:rPr>
          <w:b w:val="1"/>
          <w:sz w:val="32"/>
          <w:szCs w:val="32"/>
          <w:rtl w:val="0"/>
        </w:rPr>
        <w:t xml:space="preserve">subsp. </w:t>
      </w:r>
      <w:r w:rsidDel="00000000" w:rsidR="00000000" w:rsidRPr="00000000">
        <w:rPr>
          <w:b w:val="1"/>
          <w:i w:val="1"/>
          <w:sz w:val="32"/>
          <w:szCs w:val="32"/>
          <w:rtl w:val="0"/>
        </w:rPr>
        <w:t xml:space="preserve">stewartii</w:t>
      </w:r>
      <w:r w:rsidDel="00000000" w:rsidR="00000000" w:rsidRPr="00000000">
        <w:rPr>
          <w:rtl w:val="0"/>
        </w:rPr>
      </w:r>
    </w:p>
    <w:p w:rsidR="00000000" w:rsidDel="00000000" w:rsidP="00000000" w:rsidRDefault="00000000" w:rsidRPr="00000000" w14:paraId="00000010">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11">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12">
      <w:pPr>
        <w:spacing w:line="240" w:lineRule="auto"/>
        <w:jc w:val="center"/>
        <w:rPr>
          <w:b w:val="1"/>
          <w:sz w:val="28"/>
          <w:szCs w:val="28"/>
        </w:rPr>
      </w:pPr>
      <w:r w:rsidDel="00000000" w:rsidR="00000000" w:rsidRPr="00000000">
        <w:rPr>
          <w:b w:val="1"/>
          <w:sz w:val="28"/>
          <w:szCs w:val="28"/>
          <w:rtl w:val="0"/>
        </w:rPr>
        <w:t xml:space="preserve">Julio 2023</w:t>
      </w:r>
    </w:p>
    <w:p w:rsidR="00000000" w:rsidDel="00000000" w:rsidP="00000000" w:rsidRDefault="00000000" w:rsidRPr="00000000" w14:paraId="00000013">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14">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15">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6">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17">
      <w:pPr>
        <w:spacing w:line="240" w:lineRule="auto"/>
        <w:jc w:val="center"/>
        <w:rPr>
          <w:b w:val="1"/>
          <w:i w:val="1"/>
          <w:color w:val="000000"/>
          <w:sz w:val="32"/>
          <w:szCs w:val="32"/>
        </w:rPr>
      </w:pP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br w:type="page"/>
      </w:r>
      <w:r w:rsidDel="00000000" w:rsidR="00000000" w:rsidRPr="00000000">
        <w:rPr>
          <w:b w:val="1"/>
          <w:sz w:val="24"/>
          <w:szCs w:val="24"/>
          <w:rtl w:val="0"/>
        </w:rPr>
        <w:t xml:space="preserve">Tabla de contenido</w:t>
      </w:r>
    </w:p>
    <w:p w:rsidR="00000000" w:rsidDel="00000000" w:rsidP="00000000" w:rsidRDefault="00000000" w:rsidRPr="00000000" w14:paraId="00000019">
      <w:pP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m8dccv4w34m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Descripción técnica de la plaga</w:t>
              <w:tab/>
              <w:t xml:space="preserve">2</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i0lwztpsg0n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Denominación de la enfermedad</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720" w:firstLine="0"/>
            <w:rPr>
              <w:rFonts w:ascii="Arial" w:cs="Arial" w:eastAsia="Arial" w:hAnsi="Arial"/>
              <w:b w:val="0"/>
              <w:i w:val="0"/>
              <w:smallCaps w:val="0"/>
              <w:strike w:val="0"/>
              <w:color w:val="000000"/>
              <w:u w:val="none"/>
              <w:shd w:fill="auto" w:val="clear"/>
              <w:vertAlign w:val="baseline"/>
            </w:rPr>
          </w:pPr>
          <w:hyperlink w:anchor="_heading=h.kfux6cu4bubr">
            <w:r w:rsidDel="00000000" w:rsidR="00000000" w:rsidRPr="00000000">
              <w:rPr>
                <w:rFonts w:ascii="Arial" w:cs="Arial" w:eastAsia="Arial" w:hAnsi="Arial"/>
                <w:b w:val="0"/>
                <w:i w:val="0"/>
                <w:smallCaps w:val="0"/>
                <w:strike w:val="0"/>
                <w:color w:val="000000"/>
                <w:u w:val="none"/>
                <w:shd w:fill="auto" w:val="clear"/>
                <w:vertAlign w:val="baseline"/>
                <w:rtl w:val="0"/>
              </w:rPr>
              <w:t xml:space="preserve">1.1.1 Agente etiológico</w:t>
              <w:tab/>
              <w:t xml:space="preserve">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hgdqvigrryo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Hospedantes / Especies afectadas</w:t>
              <w:tab/>
              <w:t xml:space="preserve">3</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bztdddcqoex0">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Ciclo de la enfermedad</w:t>
              <w:tab/>
              <w:t xml:space="preserve">4</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jfx1qrgzr9d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 Transmisión y supervivencia</w:t>
              <w:tab/>
              <w:t xml:space="preserve">4</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ndzi8be8sjc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 Incidencia</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behpspf26lj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 Síntomas asociados a los distintos órganos y estadios fenológicos</w:t>
              <w:tab/>
              <w:t xml:space="preserve">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1080" w:firstLine="0"/>
            <w:rPr>
              <w:rFonts w:ascii="Arial" w:cs="Arial" w:eastAsia="Arial" w:hAnsi="Arial"/>
              <w:b w:val="0"/>
              <w:i w:val="1"/>
              <w:smallCaps w:val="0"/>
              <w:strike w:val="0"/>
              <w:color w:val="000000"/>
              <w:u w:val="none"/>
              <w:shd w:fill="auto" w:val="clear"/>
              <w:vertAlign w:val="baseline"/>
            </w:rPr>
          </w:pPr>
          <w:hyperlink w:anchor="_heading=h.3o7alnk">
            <w:r w:rsidDel="00000000" w:rsidR="00000000" w:rsidRPr="00000000">
              <w:rPr>
                <w:rFonts w:ascii="Arial" w:cs="Arial" w:eastAsia="Arial" w:hAnsi="Arial"/>
                <w:b w:val="0"/>
                <w:i w:val="1"/>
                <w:smallCaps w:val="0"/>
                <w:strike w:val="0"/>
                <w:color w:val="000000"/>
                <w:u w:val="none"/>
                <w:shd w:fill="auto" w:val="clear"/>
                <w:vertAlign w:val="baseline"/>
                <w:rtl w:val="0"/>
              </w:rPr>
              <w:t xml:space="preserve">1.3.3.1 Etapa 1: Estado de plántula</w:t>
              <w:tab/>
              <w:t xml:space="preserve">1</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1080" w:firstLine="0"/>
            <w:rPr>
              <w:rFonts w:ascii="Arial" w:cs="Arial" w:eastAsia="Arial" w:hAnsi="Arial"/>
              <w:b w:val="0"/>
              <w:i w:val="1"/>
              <w:smallCaps w:val="0"/>
              <w:strike w:val="0"/>
              <w:color w:val="000000"/>
              <w:u w:val="none"/>
              <w:shd w:fill="auto" w:val="clear"/>
              <w:vertAlign w:val="baseline"/>
            </w:rPr>
          </w:pPr>
          <w:hyperlink w:anchor="_heading=h.5woxvqanyl5n">
            <w:r w:rsidDel="00000000" w:rsidR="00000000" w:rsidRPr="00000000">
              <w:rPr>
                <w:rFonts w:ascii="Arial" w:cs="Arial" w:eastAsia="Arial" w:hAnsi="Arial"/>
                <w:b w:val="0"/>
                <w:i w:val="1"/>
                <w:smallCaps w:val="0"/>
                <w:strike w:val="0"/>
                <w:color w:val="000000"/>
                <w:u w:val="none"/>
                <w:shd w:fill="auto" w:val="clear"/>
                <w:vertAlign w:val="baseline"/>
                <w:rtl w:val="0"/>
              </w:rPr>
              <w:t xml:space="preserve">1.3.3.2 Etapa 2: Estado de panoja</w:t>
              <w:tab/>
              <w:t xml:space="preserve">1</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g7pcu9a090a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 Comportamiento y distribución en los lotes</w:t>
              <w:tab/>
              <w:t xml:space="preserve">1</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c8yxb7yj4x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1.3.5 Similitudes con otros patógenos</w:t>
              <w:tab/>
              <w:t xml:space="preserve">1</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heading=h.u48n3cld3dfz">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Bibliografía</w:t>
              <w:tab/>
              <w:t xml:space="preserve">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rPr>
              <w:rFonts w:ascii="Arial" w:cs="Arial" w:eastAsia="Arial" w:hAnsi="Arial"/>
              <w:b w:val="1"/>
              <w:i w:val="0"/>
              <w:smallCaps w:val="0"/>
              <w:strike w:val="0"/>
              <w:color w:val="000000"/>
              <w:sz w:val="24"/>
              <w:szCs w:val="24"/>
              <w:u w:val="none"/>
              <w:shd w:fill="auto" w:val="clear"/>
              <w:vertAlign w:val="baseline"/>
            </w:rPr>
          </w:pPr>
          <w:hyperlink w:anchor="_heading=h.6ahzsr9v8kb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Anexo: Figuras</w:t>
              <w:tab/>
              <w:t xml:space="preserve">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bookmarkStart w:colFirst="0" w:colLast="0" w:name="_heading=h.gjdgxs" w:id="0"/>
      <w:bookmarkEnd w:id="0"/>
      <w:r w:rsidDel="00000000" w:rsidR="00000000" w:rsidRPr="00000000">
        <w:rPr>
          <w:rtl w:val="0"/>
        </w:rPr>
      </w:r>
    </w:p>
    <w:p w:rsidR="00000000" w:rsidDel="00000000" w:rsidP="00000000" w:rsidRDefault="00000000" w:rsidRPr="00000000" w14:paraId="0000002A">
      <w:pPr>
        <w:pStyle w:val="Heading1"/>
        <w:keepNext w:val="1"/>
        <w:keepLines w:val="1"/>
        <w:spacing w:after="200" w:before="480" w:lineRule="auto"/>
        <w:rPr>
          <w:b w:val="1"/>
          <w:sz w:val="28"/>
          <w:szCs w:val="28"/>
          <w:vertAlign w:val="baseline"/>
        </w:rPr>
      </w:pPr>
      <w:bookmarkStart w:colFirst="0" w:colLast="0" w:name="_heading=h.m8dccv4w34mv" w:id="1"/>
      <w:bookmarkEnd w:id="1"/>
      <w:r w:rsidDel="00000000" w:rsidR="00000000" w:rsidRPr="00000000">
        <w:br w:type="page"/>
      </w:r>
      <w:r w:rsidDel="00000000" w:rsidR="00000000" w:rsidRPr="00000000">
        <w:rPr>
          <w:b w:val="1"/>
          <w:sz w:val="28"/>
          <w:szCs w:val="28"/>
          <w:vertAlign w:val="baseline"/>
          <w:rtl w:val="0"/>
        </w:rPr>
        <w:t xml:space="preserve">1. Descripción técnica de la plaga</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0" cy="12700"/>
                <wp:effectExtent b="0" l="0" r="0" t="0"/>
                <wp:wrapNone/>
                <wp:docPr id="189" name=""/>
                <a:graphic>
                  <a:graphicData uri="http://schemas.microsoft.com/office/word/2010/wordprocessingShape">
                    <wps:wsp>
                      <wps:cNvCnPr/>
                      <wps:spPr>
                        <a:xfrm>
                          <a:off x="2667570" y="3780000"/>
                          <a:ext cx="5356860" cy="0"/>
                        </a:xfrm>
                        <a:prstGeom prst="straightConnector1">
                          <a:avLst/>
                        </a:prstGeom>
                        <a:noFill/>
                        <a:ln cap="flat" cmpd="sng" w="9525">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12701</wp:posOffset>
                </wp:positionH>
                <wp:positionV relativeFrom="paragraph">
                  <wp:posOffset>50800</wp:posOffset>
                </wp:positionV>
                <wp:extent cx="0" cy="12700"/>
                <wp:effectExtent b="0" l="0" r="0" t="0"/>
                <wp:wrapNone/>
                <wp:docPr id="189"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2B">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i0lwztpsg0nc" w:id="2"/>
      <w:bookmarkEnd w:id="2"/>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Denominación de la enfermedad</w:t>
      </w:r>
    </w:p>
    <w:p w:rsidR="00000000" w:rsidDel="00000000" w:rsidP="00000000" w:rsidRDefault="00000000" w:rsidRPr="00000000" w14:paraId="0000002C">
      <w:pPr>
        <w:rPr>
          <w:vertAlign w:val="baseline"/>
        </w:rPr>
      </w:pPr>
      <w:r w:rsidDel="00000000" w:rsidR="00000000" w:rsidRPr="00000000">
        <w:rPr>
          <w:rtl w:val="0"/>
        </w:rPr>
      </w:r>
    </w:p>
    <w:p w:rsidR="00000000" w:rsidDel="00000000" w:rsidP="00000000" w:rsidRDefault="00000000" w:rsidRPr="00000000" w14:paraId="0000002D">
      <w:pPr>
        <w:spacing w:after="200" w:line="276" w:lineRule="auto"/>
        <w:ind w:left="0" w:firstLine="0"/>
        <w:jc w:val="both"/>
        <w:rPr>
          <w:sz w:val="24"/>
          <w:szCs w:val="24"/>
        </w:rPr>
      </w:pPr>
      <w:r w:rsidDel="00000000" w:rsidR="00000000" w:rsidRPr="00000000">
        <w:rPr>
          <w:b w:val="1"/>
          <w:sz w:val="24"/>
          <w:szCs w:val="24"/>
          <w:rtl w:val="0"/>
        </w:rPr>
        <w:t xml:space="preserve">Español:</w:t>
      </w:r>
      <w:r w:rsidDel="00000000" w:rsidR="00000000" w:rsidRPr="00000000">
        <w:rPr>
          <w:sz w:val="24"/>
          <w:szCs w:val="24"/>
          <w:rtl w:val="0"/>
        </w:rPr>
        <w:t xml:space="preserve"> Marchitamiento bacteriano del maíz, Enfermedad de Stewart del maíz</w:t>
      </w:r>
    </w:p>
    <w:p w:rsidR="00000000" w:rsidDel="00000000" w:rsidP="00000000" w:rsidRDefault="00000000" w:rsidRPr="00000000" w14:paraId="0000002E">
      <w:pPr>
        <w:spacing w:after="0" w:line="276" w:lineRule="auto"/>
        <w:jc w:val="both"/>
        <w:rPr>
          <w:sz w:val="24"/>
          <w:szCs w:val="24"/>
        </w:rPr>
      </w:pPr>
      <w:r w:rsidDel="00000000" w:rsidR="00000000" w:rsidRPr="00000000">
        <w:rPr>
          <w:b w:val="1"/>
          <w:sz w:val="24"/>
          <w:szCs w:val="24"/>
          <w:rtl w:val="0"/>
        </w:rPr>
        <w:t xml:space="preserve">Inglés:</w:t>
      </w:r>
      <w:r w:rsidDel="00000000" w:rsidR="00000000" w:rsidRPr="00000000">
        <w:rPr>
          <w:sz w:val="24"/>
          <w:szCs w:val="24"/>
          <w:rtl w:val="0"/>
        </w:rPr>
        <w:t xml:space="preserve"> bacterial leaf blight of maize, bacterial wilt of maize, jackfruit bronzing, Stewart's disease, Stewart's wilt of maize.</w:t>
      </w:r>
    </w:p>
    <w:p w:rsidR="00000000" w:rsidDel="00000000" w:rsidP="00000000" w:rsidRDefault="00000000" w:rsidRPr="00000000" w14:paraId="0000002F">
      <w:pPr>
        <w:spacing w:after="0" w:line="276" w:lineRule="auto"/>
        <w:jc w:val="both"/>
        <w:rPr>
          <w:sz w:val="24"/>
          <w:szCs w:val="24"/>
        </w:rPr>
      </w:pPr>
      <w:r w:rsidDel="00000000" w:rsidR="00000000" w:rsidRPr="00000000">
        <w:rPr>
          <w:rtl w:val="0"/>
        </w:rPr>
      </w:r>
    </w:p>
    <w:p w:rsidR="00000000" w:rsidDel="00000000" w:rsidP="00000000" w:rsidRDefault="00000000" w:rsidRPr="00000000" w14:paraId="00000030">
      <w:pPr>
        <w:pStyle w:val="Heading3"/>
        <w:keepNext w:val="1"/>
        <w:keepLines w:val="1"/>
        <w:spacing w:after="200" w:before="280" w:lineRule="auto"/>
        <w:rPr>
          <w:sz w:val="24"/>
          <w:szCs w:val="24"/>
          <w:vertAlign w:val="baseline"/>
        </w:rPr>
      </w:pPr>
      <w:bookmarkStart w:colFirst="0" w:colLast="0" w:name="_heading=h.kfux6cu4bubr" w:id="3"/>
      <w:bookmarkEnd w:id="3"/>
      <w:r w:rsidDel="00000000" w:rsidR="00000000" w:rsidRPr="00000000">
        <w:rPr>
          <w:sz w:val="24"/>
          <w:szCs w:val="24"/>
          <w:vertAlign w:val="baseline"/>
          <w:rtl w:val="0"/>
        </w:rPr>
        <w:t xml:space="preserve">1.1.1 Agente etiológico</w:t>
      </w:r>
    </w:p>
    <w:p w:rsidR="00000000" w:rsidDel="00000000" w:rsidP="00000000" w:rsidRDefault="00000000" w:rsidRPr="00000000" w14:paraId="00000031">
      <w:pPr>
        <w:spacing w:after="0" w:line="276" w:lineRule="auto"/>
        <w:jc w:val="both"/>
        <w:rPr>
          <w:sz w:val="24"/>
          <w:szCs w:val="24"/>
        </w:rPr>
      </w:pPr>
      <w:r w:rsidDel="00000000" w:rsidR="00000000" w:rsidRPr="00000000">
        <w:rPr>
          <w:b w:val="1"/>
          <w:sz w:val="24"/>
          <w:szCs w:val="24"/>
          <w:rtl w:val="0"/>
        </w:rPr>
        <w:t xml:space="preserve">Nombre preferido: </w:t>
      </w:r>
      <w:r w:rsidDel="00000000" w:rsidR="00000000" w:rsidRPr="00000000">
        <w:rPr>
          <w:i w:val="1"/>
          <w:sz w:val="24"/>
          <w:szCs w:val="24"/>
          <w:rtl w:val="0"/>
        </w:rPr>
        <w:t xml:space="preserve">Pantoea stewartii </w:t>
      </w:r>
      <w:r w:rsidDel="00000000" w:rsidR="00000000" w:rsidRPr="00000000">
        <w:rPr>
          <w:sz w:val="24"/>
          <w:szCs w:val="24"/>
          <w:rtl w:val="0"/>
        </w:rPr>
        <w:t xml:space="preserve">subsp</w:t>
      </w:r>
      <w:r w:rsidDel="00000000" w:rsidR="00000000" w:rsidRPr="00000000">
        <w:rPr>
          <w:i w:val="1"/>
          <w:sz w:val="24"/>
          <w:szCs w:val="24"/>
          <w:rtl w:val="0"/>
        </w:rPr>
        <w:t xml:space="preserve">. stewartii</w:t>
      </w:r>
      <w:r w:rsidDel="00000000" w:rsidR="00000000" w:rsidRPr="00000000">
        <w:rPr>
          <w:b w:val="1"/>
          <w:sz w:val="24"/>
          <w:szCs w:val="24"/>
          <w:rtl w:val="0"/>
        </w:rPr>
        <w:t xml:space="preserve"> </w:t>
      </w:r>
      <w:r w:rsidDel="00000000" w:rsidR="00000000" w:rsidRPr="00000000">
        <w:rPr>
          <w:sz w:val="24"/>
          <w:szCs w:val="24"/>
          <w:rtl w:val="0"/>
        </w:rPr>
        <w:t xml:space="preserve">(Smith) Mergaert, Verdonck &amp; Kersters</w:t>
      </w:r>
    </w:p>
    <w:p w:rsidR="00000000" w:rsidDel="00000000" w:rsidP="00000000" w:rsidRDefault="00000000" w:rsidRPr="00000000" w14:paraId="00000032">
      <w:pPr>
        <w:spacing w:after="0" w:line="276" w:lineRule="auto"/>
        <w:jc w:val="both"/>
        <w:rPr>
          <w:b w:val="1"/>
          <w:sz w:val="24"/>
          <w:szCs w:val="24"/>
        </w:rPr>
      </w:pPr>
      <w:r w:rsidDel="00000000" w:rsidR="00000000" w:rsidRPr="00000000">
        <w:rPr>
          <w:rtl w:val="0"/>
        </w:rPr>
      </w:r>
    </w:p>
    <w:p w:rsidR="00000000" w:rsidDel="00000000" w:rsidP="00000000" w:rsidRDefault="00000000" w:rsidRPr="00000000" w14:paraId="00000033">
      <w:pPr>
        <w:spacing w:after="0" w:before="0" w:line="276" w:lineRule="auto"/>
        <w:jc w:val="both"/>
        <w:rPr>
          <w:sz w:val="24"/>
          <w:szCs w:val="24"/>
        </w:rPr>
      </w:pPr>
      <w:r w:rsidDel="00000000" w:rsidR="00000000" w:rsidRPr="00000000">
        <w:rPr>
          <w:b w:val="1"/>
          <w:sz w:val="24"/>
          <w:szCs w:val="24"/>
          <w:rtl w:val="0"/>
        </w:rPr>
        <w:t xml:space="preserve">Sinonimia:</w:t>
      </w:r>
      <w:r w:rsidDel="00000000" w:rsidR="00000000" w:rsidRPr="00000000">
        <w:rPr>
          <w:sz w:val="24"/>
          <w:szCs w:val="24"/>
          <w:rtl w:val="0"/>
        </w:rPr>
        <w:t xml:space="preserve"> </w:t>
        <w:tab/>
      </w:r>
      <w:r w:rsidDel="00000000" w:rsidR="00000000" w:rsidRPr="00000000">
        <w:rPr>
          <w:i w:val="1"/>
          <w:sz w:val="24"/>
          <w:szCs w:val="24"/>
          <w:rtl w:val="0"/>
        </w:rPr>
        <w:t xml:space="preserve">Aplanobacter stewartii</w:t>
      </w:r>
      <w:r w:rsidDel="00000000" w:rsidR="00000000" w:rsidRPr="00000000">
        <w:rPr>
          <w:sz w:val="24"/>
          <w:szCs w:val="24"/>
          <w:rtl w:val="0"/>
        </w:rPr>
        <w:t xml:space="preserve"> </w:t>
      </w:r>
    </w:p>
    <w:p w:rsidR="00000000" w:rsidDel="00000000" w:rsidP="00000000" w:rsidRDefault="00000000" w:rsidRPr="00000000" w14:paraId="00000034">
      <w:pPr>
        <w:spacing w:after="0" w:before="0" w:line="276" w:lineRule="auto"/>
        <w:ind w:left="720" w:firstLine="720"/>
        <w:jc w:val="both"/>
        <w:rPr>
          <w:sz w:val="24"/>
          <w:szCs w:val="24"/>
        </w:rPr>
      </w:pPr>
      <w:r w:rsidDel="00000000" w:rsidR="00000000" w:rsidRPr="00000000">
        <w:rPr>
          <w:i w:val="1"/>
          <w:sz w:val="24"/>
          <w:szCs w:val="24"/>
          <w:rtl w:val="0"/>
        </w:rPr>
        <w:t xml:space="preserve">Bacterium stewartii</w:t>
      </w:r>
      <w:r w:rsidDel="00000000" w:rsidR="00000000" w:rsidRPr="00000000">
        <w:rPr>
          <w:sz w:val="24"/>
          <w:szCs w:val="24"/>
          <w:rtl w:val="0"/>
        </w:rPr>
        <w:t xml:space="preserve"> </w:t>
      </w:r>
    </w:p>
    <w:p w:rsidR="00000000" w:rsidDel="00000000" w:rsidP="00000000" w:rsidRDefault="00000000" w:rsidRPr="00000000" w14:paraId="00000035">
      <w:pPr>
        <w:spacing w:after="0" w:before="0" w:line="276" w:lineRule="auto"/>
        <w:ind w:left="720" w:firstLine="720"/>
        <w:jc w:val="both"/>
        <w:rPr>
          <w:sz w:val="24"/>
          <w:szCs w:val="24"/>
        </w:rPr>
      </w:pPr>
      <w:r w:rsidDel="00000000" w:rsidR="00000000" w:rsidRPr="00000000">
        <w:rPr>
          <w:sz w:val="24"/>
          <w:szCs w:val="24"/>
          <w:rtl w:val="0"/>
        </w:rPr>
        <w:t xml:space="preserve">Erwinia stewartii </w:t>
      </w:r>
    </w:p>
    <w:p w:rsidR="00000000" w:rsidDel="00000000" w:rsidP="00000000" w:rsidRDefault="00000000" w:rsidRPr="00000000" w14:paraId="00000036">
      <w:pPr>
        <w:spacing w:after="0" w:before="0" w:line="276" w:lineRule="auto"/>
        <w:ind w:left="720" w:firstLine="720"/>
        <w:jc w:val="both"/>
        <w:rPr>
          <w:sz w:val="24"/>
          <w:szCs w:val="24"/>
        </w:rPr>
      </w:pPr>
      <w:r w:rsidDel="00000000" w:rsidR="00000000" w:rsidRPr="00000000">
        <w:rPr>
          <w:i w:val="1"/>
          <w:sz w:val="24"/>
          <w:szCs w:val="24"/>
          <w:rtl w:val="0"/>
        </w:rPr>
        <w:t xml:space="preserve">Pseudomonas stewartii</w:t>
      </w:r>
      <w:r w:rsidDel="00000000" w:rsidR="00000000" w:rsidRPr="00000000">
        <w:rPr>
          <w:sz w:val="24"/>
          <w:szCs w:val="24"/>
          <w:rtl w:val="0"/>
        </w:rPr>
        <w:t xml:space="preserve"> </w:t>
      </w:r>
    </w:p>
    <w:p w:rsidR="00000000" w:rsidDel="00000000" w:rsidP="00000000" w:rsidRDefault="00000000" w:rsidRPr="00000000" w14:paraId="00000037">
      <w:pPr>
        <w:spacing w:after="0" w:before="0" w:line="276" w:lineRule="auto"/>
        <w:ind w:left="720" w:firstLine="720"/>
        <w:jc w:val="both"/>
        <w:rPr>
          <w:i w:val="1"/>
          <w:sz w:val="24"/>
          <w:szCs w:val="24"/>
        </w:rPr>
      </w:pPr>
      <w:r w:rsidDel="00000000" w:rsidR="00000000" w:rsidRPr="00000000">
        <w:rPr>
          <w:i w:val="1"/>
          <w:sz w:val="24"/>
          <w:szCs w:val="24"/>
          <w:rtl w:val="0"/>
        </w:rPr>
        <w:t xml:space="preserve">Xanthomonas stewartii</w:t>
      </w:r>
    </w:p>
    <w:p w:rsidR="00000000" w:rsidDel="00000000" w:rsidP="00000000" w:rsidRDefault="00000000" w:rsidRPr="00000000" w14:paraId="00000038">
      <w:pPr>
        <w:spacing w:after="0" w:before="0" w:line="276" w:lineRule="auto"/>
        <w:ind w:left="720" w:firstLine="720"/>
        <w:jc w:val="both"/>
        <w:rPr>
          <w:i w:val="1"/>
          <w:sz w:val="24"/>
          <w:szCs w:val="24"/>
        </w:rPr>
      </w:pPr>
      <w:r w:rsidDel="00000000" w:rsidR="00000000" w:rsidRPr="00000000">
        <w:rPr>
          <w:rtl w:val="0"/>
        </w:rPr>
      </w:r>
    </w:p>
    <w:p w:rsidR="00000000" w:rsidDel="00000000" w:rsidP="00000000" w:rsidRDefault="00000000" w:rsidRPr="00000000" w14:paraId="00000039">
      <w:pPr>
        <w:spacing w:after="200" w:line="276" w:lineRule="auto"/>
        <w:jc w:val="both"/>
        <w:rPr>
          <w:b w:val="1"/>
          <w:sz w:val="24"/>
          <w:szCs w:val="24"/>
        </w:rPr>
      </w:pPr>
      <w:r w:rsidDel="00000000" w:rsidR="00000000" w:rsidRPr="00000000">
        <w:rPr>
          <w:b w:val="1"/>
          <w:sz w:val="24"/>
          <w:szCs w:val="24"/>
          <w:rtl w:val="0"/>
        </w:rPr>
        <w:t xml:space="preserve">Categorización taxonómica: </w:t>
      </w:r>
    </w:p>
    <w:p w:rsidR="00000000" w:rsidDel="00000000" w:rsidP="00000000" w:rsidRDefault="00000000" w:rsidRPr="00000000" w14:paraId="0000003A">
      <w:pPr>
        <w:spacing w:after="0" w:line="276" w:lineRule="auto"/>
        <w:jc w:val="both"/>
        <w:rPr>
          <w:sz w:val="24"/>
          <w:szCs w:val="24"/>
        </w:rPr>
      </w:pPr>
      <w:r w:rsidDel="00000000" w:rsidR="00000000" w:rsidRPr="00000000">
        <w:rPr>
          <w:b w:val="1"/>
          <w:sz w:val="24"/>
          <w:szCs w:val="24"/>
          <w:rtl w:val="0"/>
        </w:rPr>
        <w:t xml:space="preserve">Clase:</w:t>
      </w:r>
      <w:r w:rsidDel="00000000" w:rsidR="00000000" w:rsidRPr="00000000">
        <w:rPr>
          <w:sz w:val="24"/>
          <w:szCs w:val="24"/>
          <w:rtl w:val="0"/>
        </w:rPr>
        <w:t xml:space="preserve"> </w:t>
        <w:tab/>
        <w:tab/>
        <w:t xml:space="preserve">Gammaproteobacteria</w:t>
      </w:r>
    </w:p>
    <w:p w:rsidR="00000000" w:rsidDel="00000000" w:rsidP="00000000" w:rsidRDefault="00000000" w:rsidRPr="00000000" w14:paraId="0000003B">
      <w:pPr>
        <w:spacing w:after="0" w:line="276" w:lineRule="auto"/>
        <w:jc w:val="both"/>
        <w:rPr>
          <w:sz w:val="24"/>
          <w:szCs w:val="24"/>
        </w:rPr>
      </w:pPr>
      <w:r w:rsidDel="00000000" w:rsidR="00000000" w:rsidRPr="00000000">
        <w:rPr>
          <w:b w:val="1"/>
          <w:sz w:val="24"/>
          <w:szCs w:val="24"/>
          <w:rtl w:val="0"/>
        </w:rPr>
        <w:t xml:space="preserve">Orden:</w:t>
      </w:r>
      <w:r w:rsidDel="00000000" w:rsidR="00000000" w:rsidRPr="00000000">
        <w:rPr>
          <w:sz w:val="24"/>
          <w:szCs w:val="24"/>
          <w:rtl w:val="0"/>
        </w:rPr>
        <w:t xml:space="preserve"> </w:t>
        <w:tab/>
        <w:tab/>
        <w:t xml:space="preserve">Enterobacterales</w:t>
      </w:r>
    </w:p>
    <w:p w:rsidR="00000000" w:rsidDel="00000000" w:rsidP="00000000" w:rsidRDefault="00000000" w:rsidRPr="00000000" w14:paraId="0000003C">
      <w:pPr>
        <w:spacing w:after="0" w:line="276" w:lineRule="auto"/>
        <w:jc w:val="both"/>
        <w:rPr>
          <w:sz w:val="24"/>
          <w:szCs w:val="24"/>
        </w:rPr>
      </w:pPr>
      <w:r w:rsidDel="00000000" w:rsidR="00000000" w:rsidRPr="00000000">
        <w:rPr>
          <w:b w:val="1"/>
          <w:sz w:val="24"/>
          <w:szCs w:val="24"/>
          <w:rtl w:val="0"/>
        </w:rPr>
        <w:t xml:space="preserve">Familia:</w:t>
      </w:r>
      <w:r w:rsidDel="00000000" w:rsidR="00000000" w:rsidRPr="00000000">
        <w:rPr>
          <w:sz w:val="24"/>
          <w:szCs w:val="24"/>
          <w:rtl w:val="0"/>
        </w:rPr>
        <w:t xml:space="preserve"> </w:t>
        <w:tab/>
        <w:tab/>
        <w:t xml:space="preserve">Enterobacteriaceae</w:t>
      </w:r>
    </w:p>
    <w:p w:rsidR="00000000" w:rsidDel="00000000" w:rsidP="00000000" w:rsidRDefault="00000000" w:rsidRPr="00000000" w14:paraId="0000003D">
      <w:pPr>
        <w:spacing w:after="0" w:line="276" w:lineRule="auto"/>
        <w:jc w:val="both"/>
        <w:rPr>
          <w:i w:val="1"/>
          <w:sz w:val="24"/>
          <w:szCs w:val="24"/>
        </w:rPr>
      </w:pPr>
      <w:r w:rsidDel="00000000" w:rsidR="00000000" w:rsidRPr="00000000">
        <w:rPr>
          <w:b w:val="1"/>
          <w:sz w:val="24"/>
          <w:szCs w:val="24"/>
          <w:rtl w:val="0"/>
        </w:rPr>
        <w:t xml:space="preserve">Género y especie: </w:t>
        <w:tab/>
      </w:r>
      <w:r w:rsidDel="00000000" w:rsidR="00000000" w:rsidRPr="00000000">
        <w:rPr>
          <w:i w:val="1"/>
          <w:sz w:val="24"/>
          <w:szCs w:val="24"/>
          <w:rtl w:val="0"/>
        </w:rPr>
        <w:t xml:space="preserve">Pantoea stewartii</w:t>
      </w:r>
    </w:p>
    <w:p w:rsidR="00000000" w:rsidDel="00000000" w:rsidP="00000000" w:rsidRDefault="00000000" w:rsidRPr="00000000" w14:paraId="0000003E">
      <w:pPr>
        <w:spacing w:after="0" w:line="276" w:lineRule="auto"/>
        <w:jc w:val="both"/>
        <w:rPr>
          <w:b w:val="1"/>
          <w:sz w:val="24"/>
          <w:szCs w:val="24"/>
        </w:rPr>
      </w:pPr>
      <w:r w:rsidDel="00000000" w:rsidR="00000000" w:rsidRPr="00000000">
        <w:rPr>
          <w:b w:val="1"/>
          <w:sz w:val="24"/>
          <w:szCs w:val="24"/>
          <w:rtl w:val="0"/>
        </w:rPr>
        <w:t xml:space="preserve">Subespecie:</w:t>
      </w:r>
      <w:r w:rsidDel="00000000" w:rsidR="00000000" w:rsidRPr="00000000">
        <w:rPr>
          <w:i w:val="1"/>
          <w:sz w:val="24"/>
          <w:szCs w:val="24"/>
          <w:rtl w:val="0"/>
        </w:rPr>
        <w:t xml:space="preserve"> </w:t>
        <w:tab/>
        <w:t xml:space="preserve">stewartii</w:t>
      </w:r>
      <w:r w:rsidDel="00000000" w:rsidR="00000000" w:rsidRPr="00000000">
        <w:rPr>
          <w:rtl w:val="0"/>
        </w:rPr>
      </w:r>
    </w:p>
    <w:p w:rsidR="00000000" w:rsidDel="00000000" w:rsidP="00000000" w:rsidRDefault="00000000" w:rsidRPr="00000000" w14:paraId="0000003F">
      <w:pPr>
        <w:spacing w:after="200" w:line="276" w:lineRule="auto"/>
        <w:jc w:val="both"/>
        <w:rPr>
          <w:b w:val="1"/>
          <w:sz w:val="24"/>
          <w:szCs w:val="24"/>
        </w:rPr>
      </w:pPr>
      <w:r w:rsidDel="00000000" w:rsidR="00000000" w:rsidRPr="00000000">
        <w:rPr>
          <w:rtl w:val="0"/>
        </w:rPr>
      </w:r>
    </w:p>
    <w:p w:rsidR="00000000" w:rsidDel="00000000" w:rsidP="00000000" w:rsidRDefault="00000000" w:rsidRPr="00000000" w14:paraId="00000040">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hgdqvigrryo3" w:id="4"/>
      <w:bookmarkEnd w:id="4"/>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Hospedantes / Especies afectadas</w:t>
      </w:r>
      <w:r w:rsidDel="00000000" w:rsidR="00000000" w:rsidRPr="00000000">
        <w:rPr>
          <w:rtl w:val="0"/>
        </w:rPr>
      </w:r>
    </w:p>
    <w:p w:rsidR="00000000" w:rsidDel="00000000" w:rsidP="00000000" w:rsidRDefault="00000000" w:rsidRPr="00000000" w14:paraId="00000041">
      <w:pPr>
        <w:spacing w:after="200" w:line="276" w:lineRule="auto"/>
        <w:ind w:firstLine="720"/>
        <w:jc w:val="both"/>
        <w:rPr>
          <w:sz w:val="24"/>
          <w:szCs w:val="24"/>
        </w:rPr>
      </w:pPr>
      <w:r w:rsidDel="00000000" w:rsidR="00000000" w:rsidRPr="00000000">
        <w:rPr>
          <w:sz w:val="24"/>
          <w:szCs w:val="24"/>
          <w:rtl w:val="0"/>
        </w:rPr>
        <w:t xml:space="preserve">Todos los tipos de maíz (</w:t>
      </w:r>
      <w:r w:rsidDel="00000000" w:rsidR="00000000" w:rsidRPr="00000000">
        <w:rPr>
          <w:i w:val="1"/>
          <w:sz w:val="24"/>
          <w:szCs w:val="24"/>
          <w:rtl w:val="0"/>
        </w:rPr>
        <w:t xml:space="preserve">Zea mays</w:t>
      </w:r>
      <w:r w:rsidDel="00000000" w:rsidR="00000000" w:rsidRPr="00000000">
        <w:rPr>
          <w:sz w:val="24"/>
          <w:szCs w:val="24"/>
          <w:rtl w:val="0"/>
        </w:rPr>
        <w:t xml:space="preserve">) son hospedantes de </w:t>
      </w:r>
      <w:r w:rsidDel="00000000" w:rsidR="00000000" w:rsidRPr="00000000">
        <w:rPr>
          <w:i w:val="1"/>
          <w:sz w:val="24"/>
          <w:szCs w:val="24"/>
          <w:rtl w:val="0"/>
        </w:rPr>
        <w:t xml:space="preserve">Pantoea stewartii </w:t>
      </w:r>
      <w:r w:rsidDel="00000000" w:rsidR="00000000" w:rsidRPr="00000000">
        <w:rPr>
          <w:sz w:val="24"/>
          <w:szCs w:val="24"/>
          <w:rtl w:val="0"/>
        </w:rPr>
        <w:t xml:space="preserve">subsp</w:t>
      </w:r>
      <w:r w:rsidDel="00000000" w:rsidR="00000000" w:rsidRPr="00000000">
        <w:rPr>
          <w:i w:val="1"/>
          <w:sz w:val="24"/>
          <w:szCs w:val="24"/>
          <w:rtl w:val="0"/>
        </w:rPr>
        <w:t xml:space="preserve">. stewartii</w:t>
      </w:r>
      <w:r w:rsidDel="00000000" w:rsidR="00000000" w:rsidRPr="00000000">
        <w:rPr>
          <w:sz w:val="24"/>
          <w:szCs w:val="24"/>
          <w:rtl w:val="0"/>
        </w:rPr>
        <w:t xml:space="preserve"> (CABI, 2020), especialmente maíz dulce, también variedades susceptibles de maíz dentado y cultivares para popcorn e industria. Maíces híbridos pueden ser resistentes a la primera fase de la enfermedad (marchitez), pero ser susceptibles a la segunda fase (tizón foliar) (ANPROS, 2020).</w:t>
      </w:r>
    </w:p>
    <w:p w:rsidR="00000000" w:rsidDel="00000000" w:rsidP="00000000" w:rsidRDefault="00000000" w:rsidRPr="00000000" w14:paraId="00000042">
      <w:pPr>
        <w:spacing w:after="200" w:line="276" w:lineRule="auto"/>
        <w:ind w:firstLine="720"/>
        <w:jc w:val="both"/>
        <w:rPr>
          <w:sz w:val="24"/>
          <w:szCs w:val="24"/>
        </w:rPr>
      </w:pPr>
      <w:r w:rsidDel="00000000" w:rsidR="00000000" w:rsidRPr="00000000">
        <w:rPr>
          <w:sz w:val="24"/>
          <w:szCs w:val="24"/>
          <w:rtl w:val="0"/>
        </w:rPr>
        <w:t xml:space="preserve">Se presenta en forrajeras </w:t>
      </w:r>
      <w:r w:rsidDel="00000000" w:rsidR="00000000" w:rsidRPr="00000000">
        <w:rPr>
          <w:i w:val="1"/>
          <w:sz w:val="24"/>
          <w:szCs w:val="24"/>
          <w:rtl w:val="0"/>
        </w:rPr>
        <w:t xml:space="preserve">Poaceas </w:t>
      </w:r>
      <w:r w:rsidDel="00000000" w:rsidR="00000000" w:rsidRPr="00000000">
        <w:rPr>
          <w:sz w:val="24"/>
          <w:szCs w:val="24"/>
          <w:rtl w:val="0"/>
        </w:rPr>
        <w:t xml:space="preserve">como </w:t>
      </w:r>
      <w:r w:rsidDel="00000000" w:rsidR="00000000" w:rsidRPr="00000000">
        <w:rPr>
          <w:i w:val="1"/>
          <w:sz w:val="24"/>
          <w:szCs w:val="24"/>
          <w:rtl w:val="0"/>
        </w:rPr>
        <w:t xml:space="preserve">Tripsacum dactyloides</w:t>
      </w:r>
      <w:r w:rsidDel="00000000" w:rsidR="00000000" w:rsidRPr="00000000">
        <w:rPr>
          <w:sz w:val="24"/>
          <w:szCs w:val="24"/>
          <w:rtl w:val="0"/>
        </w:rPr>
        <w:t xml:space="preserve">, </w:t>
      </w:r>
      <w:r w:rsidDel="00000000" w:rsidR="00000000" w:rsidRPr="00000000">
        <w:rPr>
          <w:i w:val="1"/>
          <w:sz w:val="24"/>
          <w:szCs w:val="24"/>
          <w:rtl w:val="0"/>
        </w:rPr>
        <w:t xml:space="preserve">Zea americana </w:t>
      </w:r>
      <w:r w:rsidDel="00000000" w:rsidR="00000000" w:rsidRPr="00000000">
        <w:rPr>
          <w:sz w:val="24"/>
          <w:szCs w:val="24"/>
          <w:rtl w:val="0"/>
        </w:rPr>
        <w:t xml:space="preserve">(CABI y ANPROS 2020) y también varias malezas </w:t>
      </w:r>
      <w:r w:rsidDel="00000000" w:rsidR="00000000" w:rsidRPr="00000000">
        <w:rPr>
          <w:i w:val="1"/>
          <w:sz w:val="24"/>
          <w:szCs w:val="24"/>
          <w:rtl w:val="0"/>
        </w:rPr>
        <w:t xml:space="preserve">Poaceas </w:t>
      </w:r>
      <w:r w:rsidDel="00000000" w:rsidR="00000000" w:rsidRPr="00000000">
        <w:rPr>
          <w:sz w:val="24"/>
          <w:szCs w:val="24"/>
          <w:rtl w:val="0"/>
        </w:rPr>
        <w:t xml:space="preserve">han demostrado actuar como hospedantes asintomáticos de la bacteria (ANPROS, 2020), incluyendo </w:t>
      </w:r>
      <w:r w:rsidDel="00000000" w:rsidR="00000000" w:rsidRPr="00000000">
        <w:rPr>
          <w:i w:val="1"/>
          <w:sz w:val="24"/>
          <w:szCs w:val="24"/>
          <w:rtl w:val="0"/>
        </w:rPr>
        <w:t xml:space="preserve">Coix lacryma-jobi, Dactylis glomerata, Euchlaena perennis</w:t>
      </w:r>
      <w:r w:rsidDel="00000000" w:rsidR="00000000" w:rsidRPr="00000000">
        <w:rPr>
          <w:sz w:val="24"/>
          <w:szCs w:val="24"/>
          <w:rtl w:val="0"/>
        </w:rPr>
        <w:t xml:space="preserve"> y </w:t>
      </w:r>
      <w:r w:rsidDel="00000000" w:rsidR="00000000" w:rsidRPr="00000000">
        <w:rPr>
          <w:i w:val="1"/>
          <w:sz w:val="24"/>
          <w:szCs w:val="24"/>
          <w:rtl w:val="0"/>
        </w:rPr>
        <w:t xml:space="preserve">Schlerachne punctata</w:t>
      </w:r>
      <w:r w:rsidDel="00000000" w:rsidR="00000000" w:rsidRPr="00000000">
        <w:rPr>
          <w:sz w:val="24"/>
          <w:szCs w:val="24"/>
          <w:rtl w:val="0"/>
        </w:rPr>
        <w:t xml:space="preserve"> (CABI, 2020).</w:t>
      </w:r>
    </w:p>
    <w:p w:rsidR="00000000" w:rsidDel="00000000" w:rsidP="00000000" w:rsidRDefault="00000000" w:rsidRPr="00000000" w14:paraId="00000043">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5awtgy49uxhn" w:id="5"/>
      <w:bookmarkEnd w:id="5"/>
      <w:r w:rsidDel="00000000" w:rsidR="00000000" w:rsidRPr="00000000">
        <w:rPr>
          <w:rtl w:val="0"/>
        </w:rPr>
      </w:r>
    </w:p>
    <w:p w:rsidR="00000000" w:rsidDel="00000000" w:rsidP="00000000" w:rsidRDefault="00000000" w:rsidRPr="00000000" w14:paraId="00000044">
      <w:pPr>
        <w:pStyle w:val="Heading2"/>
        <w:keepNext w:val="1"/>
        <w:keepLines w:val="1"/>
        <w:spacing w:after="200" w:before="360" w:lineRule="auto"/>
        <w:rPr>
          <w:sz w:val="24"/>
          <w:szCs w:val="24"/>
          <w:vertAlign w:val="baseline"/>
        </w:rPr>
      </w:pPr>
      <w:bookmarkStart w:colFirst="0" w:colLast="0" w:name="_heading=h.bztdddcqoex0" w:id="6"/>
      <w:bookmarkEnd w:id="6"/>
      <w:r w:rsidDel="00000000" w:rsidR="00000000" w:rsidRPr="00000000">
        <w:rPr>
          <w:sz w:val="24"/>
          <w:szCs w:val="24"/>
          <w:vertAlign w:val="baseline"/>
          <w:rtl w:val="0"/>
        </w:rPr>
        <w:t xml:space="preserve">1.3 Ciclo de la enfermedad</w:t>
      </w:r>
    </w:p>
    <w:p w:rsidR="00000000" w:rsidDel="00000000" w:rsidP="00000000" w:rsidRDefault="00000000" w:rsidRPr="00000000" w14:paraId="00000045">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jfx1qrgzr9dy" w:id="7"/>
      <w:bookmarkEnd w:id="7"/>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 Transmisión y supervivencia</w:t>
      </w:r>
    </w:p>
    <w:p w:rsidR="00000000" w:rsidDel="00000000" w:rsidP="00000000" w:rsidRDefault="00000000" w:rsidRPr="00000000" w14:paraId="00000046">
      <w:pPr>
        <w:spacing w:after="200" w:line="276" w:lineRule="auto"/>
        <w:ind w:firstLine="720"/>
        <w:jc w:val="both"/>
        <w:rPr>
          <w:sz w:val="24"/>
          <w:szCs w:val="24"/>
        </w:rPr>
      </w:pPr>
      <w:r w:rsidDel="00000000" w:rsidR="00000000" w:rsidRPr="00000000">
        <w:rPr>
          <w:i w:val="1"/>
          <w:sz w:val="24"/>
          <w:szCs w:val="24"/>
          <w:rtl w:val="0"/>
        </w:rPr>
        <w:t xml:space="preserve">Pantoea stewartii </w:t>
      </w:r>
      <w:r w:rsidDel="00000000" w:rsidR="00000000" w:rsidRPr="00000000">
        <w:rPr>
          <w:sz w:val="24"/>
          <w:szCs w:val="24"/>
          <w:rtl w:val="0"/>
        </w:rPr>
        <w:t xml:space="preserve">subsp</w:t>
      </w:r>
      <w:r w:rsidDel="00000000" w:rsidR="00000000" w:rsidRPr="00000000">
        <w:rPr>
          <w:i w:val="1"/>
          <w:sz w:val="24"/>
          <w:szCs w:val="24"/>
          <w:rtl w:val="0"/>
        </w:rPr>
        <w:t xml:space="preserve">. stewartii</w:t>
      </w:r>
      <w:r w:rsidDel="00000000" w:rsidR="00000000" w:rsidRPr="00000000">
        <w:rPr>
          <w:sz w:val="24"/>
          <w:szCs w:val="24"/>
          <w:rtl w:val="0"/>
        </w:rPr>
        <w:t xml:space="preserve"> sobrevive en plantas hospederas vivas, insectos vectores y semillas. No hay evidencia de que la bacteria sea capaz de invernar en el suelo o en los residuos de cultivos (CABI, 2020).</w:t>
      </w:r>
    </w:p>
    <w:p w:rsidR="00000000" w:rsidDel="00000000" w:rsidP="00000000" w:rsidRDefault="00000000" w:rsidRPr="00000000" w14:paraId="00000047">
      <w:pPr>
        <w:spacing w:after="200" w:line="276" w:lineRule="auto"/>
        <w:ind w:firstLine="720"/>
        <w:jc w:val="both"/>
        <w:rPr>
          <w:sz w:val="24"/>
          <w:szCs w:val="24"/>
        </w:rPr>
      </w:pPr>
      <w:r w:rsidDel="00000000" w:rsidR="00000000" w:rsidRPr="00000000">
        <w:rPr>
          <w:sz w:val="24"/>
          <w:szCs w:val="24"/>
          <w:rtl w:val="0"/>
        </w:rPr>
        <w:t xml:space="preserve">La vía de dispersión a grandes distancias es la semilla (CIMMYT, 2004; Paliwal, 2001; CABI, 2020; ANPROS, 2020). Sin embargo, en términos del comercio internacional de semillas para plantar, la probabilidad de introducir (entrada y establecimiento) </w:t>
      </w:r>
      <w:r w:rsidDel="00000000" w:rsidR="00000000" w:rsidRPr="00000000">
        <w:rPr>
          <w:i w:val="1"/>
          <w:sz w:val="24"/>
          <w:szCs w:val="24"/>
          <w:rtl w:val="0"/>
        </w:rPr>
        <w:t xml:space="preserve">Pantoea stewartii </w:t>
      </w:r>
      <w:r w:rsidDel="00000000" w:rsidR="00000000" w:rsidRPr="00000000">
        <w:rPr>
          <w:sz w:val="24"/>
          <w:szCs w:val="24"/>
          <w:rtl w:val="0"/>
        </w:rPr>
        <w:t xml:space="preserve">a una nueva área, como resultado de la transmisión por semilla, es mucho más baja que la reportada previamente por la literatura entre los años 1940 y 1990 (Pataky, 2003).</w:t>
      </w:r>
    </w:p>
    <w:p w:rsidR="00000000" w:rsidDel="00000000" w:rsidP="00000000" w:rsidRDefault="00000000" w:rsidRPr="00000000" w14:paraId="00000048">
      <w:pPr>
        <w:spacing w:after="200" w:line="276" w:lineRule="auto"/>
        <w:ind w:firstLine="720"/>
        <w:jc w:val="both"/>
        <w:rPr>
          <w:sz w:val="24"/>
          <w:szCs w:val="24"/>
        </w:rPr>
      </w:pPr>
      <w:r w:rsidDel="00000000" w:rsidR="00000000" w:rsidRPr="00000000">
        <w:rPr>
          <w:sz w:val="24"/>
          <w:szCs w:val="24"/>
          <w:rtl w:val="0"/>
        </w:rPr>
        <w:t xml:space="preserve">Las plantas de maíz son infectadas como resultado de las heridas causadas por los insectos vectores al alimentarse, que sirven como puntos de entrada para el patógeno (De León, 1984, CIMMYT, 2004 y Paliwal, 2001).</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720"/>
        <w:jc w:val="both"/>
        <w:rPr>
          <w:sz w:val="24"/>
          <w:szCs w:val="24"/>
        </w:rPr>
      </w:pPr>
      <w:r w:rsidDel="00000000" w:rsidR="00000000" w:rsidRPr="00000000">
        <w:rPr>
          <w:sz w:val="24"/>
          <w:szCs w:val="24"/>
          <w:rtl w:val="0"/>
        </w:rPr>
        <w:t xml:space="preserve">El</w:t>
      </w:r>
      <w:r w:rsidDel="00000000" w:rsidR="00000000" w:rsidRPr="00000000">
        <w:rPr>
          <w:sz w:val="24"/>
          <w:szCs w:val="24"/>
          <w:rtl w:val="0"/>
        </w:rPr>
        <w:t xml:space="preserve"> coleóptero del maíz, </w:t>
      </w:r>
      <w:r w:rsidDel="00000000" w:rsidR="00000000" w:rsidRPr="00000000">
        <w:rPr>
          <w:i w:val="1"/>
          <w:sz w:val="24"/>
          <w:szCs w:val="24"/>
          <w:rtl w:val="0"/>
        </w:rPr>
        <w:t xml:space="preserve">Chaetocnema pulicaria</w:t>
      </w:r>
      <w:r w:rsidDel="00000000" w:rsidR="00000000" w:rsidRPr="00000000">
        <w:rPr>
          <w:sz w:val="24"/>
          <w:szCs w:val="24"/>
          <w:rtl w:val="0"/>
        </w:rPr>
        <w:t xml:space="preserve">, es su principal vector (De León, 1984; CIMMYT, 2004: CABI, 2020; ANPROS, 2020) y es muy importante en la diseminación de </w:t>
      </w:r>
      <w:r w:rsidDel="00000000" w:rsidR="00000000" w:rsidRPr="00000000">
        <w:rPr>
          <w:i w:val="1"/>
          <w:sz w:val="24"/>
          <w:szCs w:val="24"/>
          <w:rtl w:val="0"/>
        </w:rPr>
        <w:t xml:space="preserve">Pantoea stewartii </w:t>
      </w:r>
      <w:r w:rsidDel="00000000" w:rsidR="00000000" w:rsidRPr="00000000">
        <w:rPr>
          <w:sz w:val="24"/>
          <w:szCs w:val="24"/>
          <w:rtl w:val="0"/>
        </w:rPr>
        <w:t xml:space="preserve">subsp</w:t>
      </w:r>
      <w:r w:rsidDel="00000000" w:rsidR="00000000" w:rsidRPr="00000000">
        <w:rPr>
          <w:i w:val="1"/>
          <w:sz w:val="24"/>
          <w:szCs w:val="24"/>
          <w:rtl w:val="0"/>
        </w:rPr>
        <w:t xml:space="preserve">. stewartii</w:t>
      </w:r>
      <w:r w:rsidDel="00000000" w:rsidR="00000000" w:rsidRPr="00000000">
        <w:rPr>
          <w:sz w:val="24"/>
          <w:szCs w:val="24"/>
          <w:rtl w:val="0"/>
        </w:rPr>
        <w:t xml:space="preserve"> ya que después de adquirir la bacteria puede transportarla y transmitirla durante toda su vida (ANPROS, 2020).</w:t>
      </w:r>
    </w:p>
    <w:p w:rsidR="00000000" w:rsidDel="00000000" w:rsidP="00000000" w:rsidRDefault="00000000" w:rsidRPr="00000000" w14:paraId="0000004A">
      <w:pPr>
        <w:spacing w:after="200" w:line="276" w:lineRule="auto"/>
        <w:ind w:firstLine="720"/>
        <w:jc w:val="both"/>
        <w:rPr>
          <w:sz w:val="24"/>
          <w:szCs w:val="24"/>
        </w:rPr>
      </w:pPr>
      <w:r w:rsidDel="00000000" w:rsidR="00000000" w:rsidRPr="00000000">
        <w:rPr>
          <w:sz w:val="24"/>
          <w:szCs w:val="24"/>
          <w:rtl w:val="0"/>
        </w:rPr>
        <w:t xml:space="preserve">El patógeno pasa el invierno en el tracto alimentario de </w:t>
      </w:r>
      <w:r w:rsidDel="00000000" w:rsidR="00000000" w:rsidRPr="00000000">
        <w:rPr>
          <w:i w:val="1"/>
          <w:sz w:val="24"/>
          <w:szCs w:val="24"/>
          <w:rtl w:val="0"/>
        </w:rPr>
        <w:t xml:space="preserve">C. pulicaria</w:t>
      </w:r>
      <w:r w:rsidDel="00000000" w:rsidR="00000000" w:rsidRPr="00000000">
        <w:rPr>
          <w:sz w:val="24"/>
          <w:szCs w:val="24"/>
          <w:rtl w:val="0"/>
        </w:rPr>
        <w:t xml:space="preserve">, inverna en el suelo en restos de maíz y abono animal, luego emerge de la hibernación y se alimenta de plantas jóvenes de maíz, permitiendo que la bacteria se transmita de un ciclo a otro de cultivo (CABI, 2020, CIMMYT, 2004).</w:t>
      </w:r>
    </w:p>
    <w:p w:rsidR="00000000" w:rsidDel="00000000" w:rsidP="00000000" w:rsidRDefault="00000000" w:rsidRPr="00000000" w14:paraId="0000004B">
      <w:pPr>
        <w:spacing w:after="200" w:line="276" w:lineRule="auto"/>
        <w:ind w:firstLine="720"/>
        <w:jc w:val="both"/>
        <w:rPr>
          <w:sz w:val="24"/>
          <w:szCs w:val="24"/>
        </w:rPr>
      </w:pPr>
      <w:r w:rsidDel="00000000" w:rsidR="00000000" w:rsidRPr="00000000">
        <w:rPr>
          <w:sz w:val="24"/>
          <w:szCs w:val="24"/>
          <w:rtl w:val="0"/>
        </w:rPr>
        <w:t xml:space="preserve">Cabe destacar que el coléoptero </w:t>
      </w:r>
      <w:r w:rsidDel="00000000" w:rsidR="00000000" w:rsidRPr="00000000">
        <w:rPr>
          <w:i w:val="1"/>
          <w:sz w:val="24"/>
          <w:szCs w:val="24"/>
          <w:rtl w:val="0"/>
        </w:rPr>
        <w:t xml:space="preserve">Chaetocnema pulicaria</w:t>
      </w:r>
      <w:r w:rsidDel="00000000" w:rsidR="00000000" w:rsidRPr="00000000">
        <w:rPr>
          <w:sz w:val="24"/>
          <w:szCs w:val="24"/>
          <w:rtl w:val="0"/>
        </w:rPr>
        <w:t xml:space="preserve"> está ausente en Argentina (SINAVIMO, 2020). </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720"/>
        <w:jc w:val="both"/>
        <w:rPr>
          <w:sz w:val="24"/>
          <w:szCs w:val="24"/>
        </w:rPr>
      </w:pPr>
      <w:r w:rsidDel="00000000" w:rsidR="00000000" w:rsidRPr="00000000">
        <w:rPr>
          <w:sz w:val="24"/>
          <w:szCs w:val="24"/>
          <w:rtl w:val="0"/>
        </w:rPr>
        <w:t xml:space="preserve">Otros </w:t>
      </w:r>
      <w:r w:rsidDel="00000000" w:rsidR="00000000" w:rsidRPr="00000000">
        <w:rPr>
          <w:sz w:val="24"/>
          <w:szCs w:val="24"/>
          <w:rtl w:val="0"/>
        </w:rPr>
        <w:t xml:space="preserve">vectores</w:t>
      </w:r>
      <w:r w:rsidDel="00000000" w:rsidR="00000000" w:rsidRPr="00000000">
        <w:rPr>
          <w:sz w:val="24"/>
          <w:szCs w:val="24"/>
          <w:rtl w:val="0"/>
        </w:rPr>
        <w:t xml:space="preserve"> posibles son </w:t>
      </w:r>
      <w:r w:rsidDel="00000000" w:rsidR="00000000" w:rsidRPr="00000000">
        <w:rPr>
          <w:i w:val="1"/>
          <w:sz w:val="24"/>
          <w:szCs w:val="24"/>
          <w:rtl w:val="0"/>
        </w:rPr>
        <w:t xml:space="preserve">Diabrotica undecimpunctata howardi </w:t>
      </w:r>
      <w:r w:rsidDel="00000000" w:rsidR="00000000" w:rsidRPr="00000000">
        <w:rPr>
          <w:sz w:val="24"/>
          <w:szCs w:val="24"/>
          <w:rtl w:val="0"/>
        </w:rPr>
        <w:t xml:space="preserve">(larva y adulto), </w:t>
      </w:r>
      <w:r w:rsidDel="00000000" w:rsidR="00000000" w:rsidRPr="00000000">
        <w:rPr>
          <w:i w:val="1"/>
          <w:sz w:val="24"/>
          <w:szCs w:val="24"/>
          <w:rtl w:val="0"/>
        </w:rPr>
        <w:t xml:space="preserve">Chaetocnema denticulata</w:t>
      </w:r>
      <w:r w:rsidDel="00000000" w:rsidR="00000000" w:rsidRPr="00000000">
        <w:rPr>
          <w:sz w:val="24"/>
          <w:szCs w:val="24"/>
          <w:rtl w:val="0"/>
        </w:rPr>
        <w:t xml:space="preserve">, larva de </w:t>
      </w:r>
      <w:r w:rsidDel="00000000" w:rsidR="00000000" w:rsidRPr="00000000">
        <w:rPr>
          <w:i w:val="1"/>
          <w:sz w:val="24"/>
          <w:szCs w:val="24"/>
          <w:rtl w:val="0"/>
        </w:rPr>
        <w:t xml:space="preserve">Delia platura, Agriotes mancus, Phyllophaga sp</w:t>
      </w:r>
      <w:r w:rsidDel="00000000" w:rsidR="00000000" w:rsidRPr="00000000">
        <w:rPr>
          <w:sz w:val="24"/>
          <w:szCs w:val="24"/>
          <w:rtl w:val="0"/>
        </w:rPr>
        <w:t xml:space="preserve">. y larva de </w:t>
      </w:r>
      <w:r w:rsidDel="00000000" w:rsidR="00000000" w:rsidRPr="00000000">
        <w:rPr>
          <w:i w:val="1"/>
          <w:sz w:val="24"/>
          <w:szCs w:val="24"/>
          <w:rtl w:val="0"/>
        </w:rPr>
        <w:t xml:space="preserve">Diabrotica longicornis barberis</w:t>
      </w:r>
      <w:r w:rsidDel="00000000" w:rsidR="00000000" w:rsidRPr="00000000">
        <w:rPr>
          <w:sz w:val="24"/>
          <w:szCs w:val="24"/>
          <w:rtl w:val="0"/>
        </w:rPr>
        <w:t xml:space="preserve"> (ANPROS, 2020).</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720"/>
        <w:jc w:val="both"/>
        <w:rPr>
          <w:sz w:val="24"/>
          <w:szCs w:val="24"/>
        </w:rPr>
      </w:pPr>
      <w:r w:rsidDel="00000000" w:rsidR="00000000" w:rsidRPr="00000000">
        <w:rPr>
          <w:sz w:val="24"/>
          <w:szCs w:val="24"/>
          <w:rtl w:val="0"/>
        </w:rPr>
        <w:t xml:space="preserve">Como no se ha probado la supervivencia del patógeno dentro de los otros insectos vectores conocidos, de un ciclo a otro de cultivo, se cree que la importancia de su diseminación radica principalmente dentro del ciclo de cultivo, intra e interplanta.</w:t>
      </w:r>
    </w:p>
    <w:p w:rsidR="00000000" w:rsidDel="00000000" w:rsidP="00000000" w:rsidRDefault="00000000" w:rsidRPr="00000000" w14:paraId="0000004E">
      <w:pPr>
        <w:spacing w:after="200" w:line="276" w:lineRule="auto"/>
        <w:ind w:firstLine="720"/>
        <w:jc w:val="both"/>
        <w:rPr>
          <w:b w:val="1"/>
          <w:sz w:val="24"/>
          <w:szCs w:val="24"/>
        </w:rPr>
      </w:pPr>
      <w:r w:rsidDel="00000000" w:rsidR="00000000" w:rsidRPr="00000000">
        <w:rPr>
          <w:sz w:val="24"/>
          <w:szCs w:val="24"/>
          <w:rtl w:val="0"/>
        </w:rPr>
        <w:t xml:space="preserve">Según fuentes del SENASA Perú </w:t>
      </w:r>
      <w:r w:rsidDel="00000000" w:rsidR="00000000" w:rsidRPr="00000000">
        <w:rPr>
          <w:i w:val="1"/>
          <w:sz w:val="24"/>
          <w:szCs w:val="24"/>
          <w:rtl w:val="0"/>
        </w:rPr>
        <w:t xml:space="preserve">Chaetocnema denticulata</w:t>
      </w:r>
      <w:r w:rsidDel="00000000" w:rsidR="00000000" w:rsidRPr="00000000">
        <w:rPr>
          <w:sz w:val="24"/>
          <w:szCs w:val="24"/>
          <w:rtl w:val="0"/>
        </w:rPr>
        <w:t xml:space="preserve">, </w:t>
      </w:r>
      <w:r w:rsidDel="00000000" w:rsidR="00000000" w:rsidRPr="00000000">
        <w:rPr>
          <w:i w:val="1"/>
          <w:sz w:val="24"/>
          <w:szCs w:val="24"/>
          <w:rtl w:val="0"/>
        </w:rPr>
        <w:t xml:space="preserve">Chaetocnema pulicaria</w:t>
      </w:r>
      <w:r w:rsidDel="00000000" w:rsidR="00000000" w:rsidRPr="00000000">
        <w:rPr>
          <w:sz w:val="24"/>
          <w:szCs w:val="24"/>
          <w:rtl w:val="0"/>
        </w:rPr>
        <w:t xml:space="preserve"> y </w:t>
      </w:r>
      <w:r w:rsidDel="00000000" w:rsidR="00000000" w:rsidRPr="00000000">
        <w:rPr>
          <w:i w:val="1"/>
          <w:sz w:val="24"/>
          <w:szCs w:val="24"/>
          <w:rtl w:val="0"/>
        </w:rPr>
        <w:t xml:space="preserve">Agriotes mancus </w:t>
      </w:r>
      <w:r w:rsidDel="00000000" w:rsidR="00000000" w:rsidRPr="00000000">
        <w:rPr>
          <w:sz w:val="24"/>
          <w:szCs w:val="24"/>
          <w:rtl w:val="0"/>
        </w:rPr>
        <w:t xml:space="preserve">se encuentran ausentes en este país, mientras que </w:t>
      </w:r>
      <w:r w:rsidDel="00000000" w:rsidR="00000000" w:rsidRPr="00000000">
        <w:rPr>
          <w:i w:val="1"/>
          <w:sz w:val="24"/>
          <w:szCs w:val="24"/>
          <w:rtl w:val="0"/>
        </w:rPr>
        <w:t xml:space="preserve">Diabrotica undecimpunctata howardi</w:t>
      </w:r>
      <w:r w:rsidDel="00000000" w:rsidR="00000000" w:rsidRPr="00000000">
        <w:rPr>
          <w:sz w:val="24"/>
          <w:szCs w:val="24"/>
          <w:rtl w:val="0"/>
        </w:rPr>
        <w:t xml:space="preserve"> y </w:t>
      </w:r>
      <w:r w:rsidDel="00000000" w:rsidR="00000000" w:rsidRPr="00000000">
        <w:rPr>
          <w:i w:val="1"/>
          <w:sz w:val="24"/>
          <w:szCs w:val="24"/>
          <w:rtl w:val="0"/>
        </w:rPr>
        <w:t xml:space="preserve">Delia platura </w:t>
      </w:r>
      <w:r w:rsidDel="00000000" w:rsidR="00000000" w:rsidRPr="00000000">
        <w:rPr>
          <w:sz w:val="24"/>
          <w:szCs w:val="24"/>
          <w:rtl w:val="0"/>
        </w:rPr>
        <w:t xml:space="preserve">están presentes. Según la información proporcionada por la ONPF Argentina, el Laboratorio Vegetal ha analizado muestras para la detección de </w:t>
      </w:r>
      <w:r w:rsidDel="00000000" w:rsidR="00000000" w:rsidRPr="00000000">
        <w:rPr>
          <w:i w:val="1"/>
          <w:sz w:val="24"/>
          <w:szCs w:val="24"/>
          <w:rtl w:val="0"/>
        </w:rPr>
        <w:t xml:space="preserve">Pantoea stewartii pv. stewartii </w:t>
      </w:r>
      <w:r w:rsidDel="00000000" w:rsidR="00000000" w:rsidRPr="00000000">
        <w:rPr>
          <w:sz w:val="24"/>
          <w:szCs w:val="24"/>
          <w:rtl w:val="0"/>
        </w:rPr>
        <w:t xml:space="preserve">desde hace más de 10 años, sin encontrar resultados positivos en ninguno de los casos analizados.</w:t>
      </w:r>
      <w:r w:rsidDel="00000000" w:rsidR="00000000" w:rsidRPr="00000000">
        <w:rPr>
          <w:rtl w:val="0"/>
        </w:rPr>
      </w:r>
    </w:p>
    <w:p w:rsidR="00000000" w:rsidDel="00000000" w:rsidP="00000000" w:rsidRDefault="00000000" w:rsidRPr="00000000" w14:paraId="0000004F">
      <w:pPr>
        <w:spacing w:after="200" w:line="276" w:lineRule="auto"/>
        <w:ind w:firstLine="720"/>
        <w:jc w:val="both"/>
        <w:rPr>
          <w:sz w:val="24"/>
          <w:szCs w:val="24"/>
        </w:rPr>
      </w:pPr>
      <w:r w:rsidDel="00000000" w:rsidR="00000000" w:rsidRPr="00000000">
        <w:rPr>
          <w:sz w:val="24"/>
          <w:szCs w:val="24"/>
          <w:rtl w:val="0"/>
        </w:rPr>
        <w:t xml:space="preserve">Los primeros estudios sobre la ubicación de </w:t>
      </w:r>
      <w:r w:rsidDel="00000000" w:rsidR="00000000" w:rsidRPr="00000000">
        <w:rPr>
          <w:i w:val="1"/>
          <w:sz w:val="24"/>
          <w:szCs w:val="24"/>
          <w:rtl w:val="0"/>
        </w:rPr>
        <w:t xml:space="preserve">Pantoea stewartii </w:t>
      </w:r>
      <w:r w:rsidDel="00000000" w:rsidR="00000000" w:rsidRPr="00000000">
        <w:rPr>
          <w:sz w:val="24"/>
          <w:szCs w:val="24"/>
          <w:rtl w:val="0"/>
        </w:rPr>
        <w:t xml:space="preserve">subsp</w:t>
      </w:r>
      <w:r w:rsidDel="00000000" w:rsidR="00000000" w:rsidRPr="00000000">
        <w:rPr>
          <w:i w:val="1"/>
          <w:sz w:val="24"/>
          <w:szCs w:val="24"/>
          <w:rtl w:val="0"/>
        </w:rPr>
        <w:t xml:space="preserve">. stewartii</w:t>
      </w:r>
      <w:r w:rsidDel="00000000" w:rsidR="00000000" w:rsidRPr="00000000">
        <w:rPr>
          <w:sz w:val="24"/>
          <w:szCs w:val="24"/>
          <w:rtl w:val="0"/>
        </w:rPr>
        <w:t xml:space="preserve"> en los tejidos de las semillas indicaron que el patógeno estaba presente en el endospermo, pero no en la cubierta de la semilla. El patógeno se recuperó de las semillas hasta 5 meses después de la cosecha, y en un estudio sobrevivió más tiempo en maíz almacenado a bajas temperaturas, pero desapareció después de 200-250 días de almacenamiento a 8-15 °C (CABI, 2020).</w:t>
      </w:r>
    </w:p>
    <w:p w:rsidR="00000000" w:rsidDel="00000000" w:rsidP="00000000" w:rsidRDefault="00000000" w:rsidRPr="00000000" w14:paraId="00000050">
      <w:pPr>
        <w:spacing w:after="200" w:line="276" w:lineRule="auto"/>
        <w:ind w:firstLine="720"/>
        <w:jc w:val="both"/>
        <w:rPr>
          <w:sz w:val="24"/>
          <w:szCs w:val="24"/>
        </w:rPr>
      </w:pPr>
      <w:r w:rsidDel="00000000" w:rsidR="00000000" w:rsidRPr="00000000">
        <w:rPr>
          <w:sz w:val="24"/>
          <w:szCs w:val="24"/>
          <w:rtl w:val="0"/>
        </w:rPr>
        <w:t xml:space="preserve">Se ha investigado la relación entre la gravedad de la infección de la planta y la infección de la semilla. La transmisión en semillas de </w:t>
      </w:r>
      <w:r w:rsidDel="00000000" w:rsidR="00000000" w:rsidRPr="00000000">
        <w:rPr>
          <w:i w:val="1"/>
          <w:sz w:val="24"/>
          <w:szCs w:val="24"/>
          <w:rtl w:val="0"/>
        </w:rPr>
        <w:t xml:space="preserve">Pantoea stewartii </w:t>
      </w:r>
      <w:r w:rsidDel="00000000" w:rsidR="00000000" w:rsidRPr="00000000">
        <w:rPr>
          <w:sz w:val="24"/>
          <w:szCs w:val="24"/>
          <w:rtl w:val="0"/>
        </w:rPr>
        <w:t xml:space="preserve">subsp</w:t>
      </w:r>
      <w:r w:rsidDel="00000000" w:rsidR="00000000" w:rsidRPr="00000000">
        <w:rPr>
          <w:i w:val="1"/>
          <w:sz w:val="24"/>
          <w:szCs w:val="24"/>
          <w:rtl w:val="0"/>
        </w:rPr>
        <w:t xml:space="preserve">. stewartii</w:t>
      </w:r>
      <w:r w:rsidDel="00000000" w:rsidR="00000000" w:rsidRPr="00000000">
        <w:rPr>
          <w:sz w:val="24"/>
          <w:szCs w:val="24"/>
          <w:rtl w:val="0"/>
        </w:rPr>
        <w:t xml:space="preserve"> está estrechamente asociado con la gravedad de la infección de la planta madre, que está relacionada con la susceptibilidad o resistencia de la misma. Sobre la base de evaluaciones recientes de las tasas de transmisión de planta a semilla y de semilla a plántula, la probabilidad de transmisión </w:t>
      </w:r>
      <w:r w:rsidDel="00000000" w:rsidR="00000000" w:rsidRPr="00000000">
        <w:rPr>
          <w:i w:val="1"/>
          <w:sz w:val="24"/>
          <w:szCs w:val="24"/>
          <w:rtl w:val="0"/>
        </w:rPr>
        <w:t xml:space="preserve">P. stewartii </w:t>
      </w:r>
      <w:r w:rsidDel="00000000" w:rsidR="00000000" w:rsidRPr="00000000">
        <w:rPr>
          <w:sz w:val="24"/>
          <w:szCs w:val="24"/>
          <w:rtl w:val="0"/>
        </w:rPr>
        <w:t xml:space="preserve">subsp</w:t>
      </w:r>
      <w:r w:rsidDel="00000000" w:rsidR="00000000" w:rsidRPr="00000000">
        <w:rPr>
          <w:i w:val="1"/>
          <w:sz w:val="24"/>
          <w:szCs w:val="24"/>
          <w:rtl w:val="0"/>
        </w:rPr>
        <w:t xml:space="preserve">. stewartii</w:t>
      </w:r>
      <w:r w:rsidDel="00000000" w:rsidR="00000000" w:rsidRPr="00000000">
        <w:rPr>
          <w:sz w:val="24"/>
          <w:szCs w:val="24"/>
          <w:rtl w:val="0"/>
        </w:rPr>
        <w:t xml:space="preserve"> en semilla es extremadamente remota cuando la semilla se produce en plantas parentales resistentes o moderadamente resistentes, ya que la resistencia restringe el movimiento de </w:t>
      </w:r>
      <w:r w:rsidDel="00000000" w:rsidR="00000000" w:rsidRPr="00000000">
        <w:rPr>
          <w:i w:val="1"/>
          <w:sz w:val="24"/>
          <w:szCs w:val="24"/>
          <w:rtl w:val="0"/>
        </w:rPr>
        <w:t xml:space="preserve">P. stewartii </w:t>
      </w:r>
      <w:r w:rsidDel="00000000" w:rsidR="00000000" w:rsidRPr="00000000">
        <w:rPr>
          <w:sz w:val="24"/>
          <w:szCs w:val="24"/>
          <w:rtl w:val="0"/>
        </w:rPr>
        <w:t xml:space="preserve">subsp</w:t>
      </w:r>
      <w:r w:rsidDel="00000000" w:rsidR="00000000" w:rsidRPr="00000000">
        <w:rPr>
          <w:i w:val="1"/>
          <w:sz w:val="24"/>
          <w:szCs w:val="24"/>
          <w:rtl w:val="0"/>
        </w:rPr>
        <w:t xml:space="preserve">. stewartii</w:t>
      </w:r>
      <w:r w:rsidDel="00000000" w:rsidR="00000000" w:rsidRPr="00000000">
        <w:rPr>
          <w:sz w:val="24"/>
          <w:szCs w:val="24"/>
          <w:rtl w:val="0"/>
        </w:rPr>
        <w:t xml:space="preserve"> en el sistema vascular de las plantas y evita que la planta se infecte sistémicamente (CABI, 2020; Pataky, 2003).</w:t>
      </w:r>
    </w:p>
    <w:p w:rsidR="00000000" w:rsidDel="00000000" w:rsidP="00000000" w:rsidRDefault="00000000" w:rsidRPr="00000000" w14:paraId="00000051">
      <w:pPr>
        <w:spacing w:after="200" w:line="276" w:lineRule="auto"/>
        <w:ind w:firstLine="720"/>
        <w:jc w:val="both"/>
        <w:rPr>
          <w:sz w:val="24"/>
          <w:szCs w:val="24"/>
        </w:rPr>
      </w:pPr>
      <w:r w:rsidDel="00000000" w:rsidR="00000000" w:rsidRPr="00000000">
        <w:rPr>
          <w:sz w:val="24"/>
          <w:szCs w:val="24"/>
          <w:rtl w:val="0"/>
        </w:rPr>
        <w:t xml:space="preserve">Conforme Petaky (2003), la transmisión de planta a semilla es menor al 0.3% para plantas moderadamente resistentes y menor al 0.03% para plantas resistentes. Cuando las plantas susceptibles se infectan sistémicamente a través de métodos naturales, la transmisión de planta a semilla es de aproximadamente el 10% o menos. Por lo tanto, es probable que pocos lotes de semillas tengan 35% o más de granos infectados que hayan dado lugar a las tasas más altas de transmisión de semilla a plántula. La transmisión de semilla a plántula probablemente sea muy baja (por ejemplo, menos del 0.06%) para semillas con menos del 10% de granos infectados, si es que </w:t>
      </w:r>
      <w:r w:rsidDel="00000000" w:rsidR="00000000" w:rsidRPr="00000000">
        <w:rPr>
          <w:i w:val="1"/>
          <w:sz w:val="24"/>
          <w:szCs w:val="24"/>
          <w:rtl w:val="0"/>
        </w:rPr>
        <w:t xml:space="preserve">Pantoea stewartii</w:t>
      </w:r>
      <w:r w:rsidDel="00000000" w:rsidR="00000000" w:rsidRPr="00000000">
        <w:rPr>
          <w:sz w:val="24"/>
          <w:szCs w:val="24"/>
          <w:rtl w:val="0"/>
        </w:rPr>
        <w:t xml:space="preserve"> se transmite en estas semillas. </w:t>
      </w:r>
    </w:p>
    <w:p w:rsidR="00000000" w:rsidDel="00000000" w:rsidP="00000000" w:rsidRDefault="00000000" w:rsidRPr="00000000" w14:paraId="00000052">
      <w:pPr>
        <w:spacing w:after="200" w:line="276" w:lineRule="auto"/>
        <w:ind w:firstLine="720"/>
        <w:jc w:val="both"/>
        <w:rPr>
          <w:b w:val="1"/>
          <w:sz w:val="24"/>
          <w:szCs w:val="24"/>
        </w:rPr>
      </w:pPr>
      <w:r w:rsidDel="00000000" w:rsidR="00000000" w:rsidRPr="00000000">
        <w:rPr>
          <w:sz w:val="24"/>
          <w:szCs w:val="24"/>
          <w:rtl w:val="0"/>
        </w:rPr>
        <w:t xml:space="preserve">En el mismo sentido, CABI (2020) hace referencia a las estimaciones máximas de infección de la semilla que fueron, para los híbridos clasificados como resistentes de 0,024%, para los híbridos con reacciones moderadas al marchitamiento de Stewart de 0,19%, y para los híbridos con reacciones susceptibles de 11,6% (adaptado de CABI, 2020).</w:t>
      </w:r>
      <w:r w:rsidDel="00000000" w:rsidR="00000000" w:rsidRPr="00000000">
        <w:rPr>
          <w:rtl w:val="0"/>
        </w:rPr>
      </w:r>
    </w:p>
    <w:p w:rsidR="00000000" w:rsidDel="00000000" w:rsidP="00000000" w:rsidRDefault="00000000" w:rsidRPr="00000000" w14:paraId="00000053">
      <w:pPr>
        <w:spacing w:after="200" w:line="276" w:lineRule="auto"/>
        <w:ind w:firstLine="720"/>
        <w:jc w:val="both"/>
        <w:rPr>
          <w:sz w:val="24"/>
          <w:szCs w:val="24"/>
        </w:rPr>
      </w:pPr>
      <w:r w:rsidDel="00000000" w:rsidR="00000000" w:rsidRPr="00000000">
        <w:rPr>
          <w:sz w:val="24"/>
          <w:szCs w:val="24"/>
          <w:rtl w:val="0"/>
        </w:rPr>
        <w:t xml:space="preserve">Petaky (2003) basado en trabajos recientes, sostiene que es evidente que la transmisión de </w:t>
      </w:r>
      <w:r w:rsidDel="00000000" w:rsidR="00000000" w:rsidRPr="00000000">
        <w:rPr>
          <w:i w:val="1"/>
          <w:sz w:val="24"/>
          <w:szCs w:val="24"/>
          <w:rtl w:val="0"/>
        </w:rPr>
        <w:t xml:space="preserve">E. stewartii</w:t>
      </w:r>
      <w:r w:rsidDel="00000000" w:rsidR="00000000" w:rsidRPr="00000000">
        <w:rPr>
          <w:sz w:val="24"/>
          <w:szCs w:val="24"/>
          <w:rtl w:val="0"/>
        </w:rPr>
        <w:t xml:space="preserve"> por semillas se produce a tasas mucho más bajas que las registradas en la primera mitad del siglo. En los híbridos y endogámicos de maíz modernos con niveles mejorados de resistencia del hospedante, la transmisión de </w:t>
      </w:r>
      <w:r w:rsidDel="00000000" w:rsidR="00000000" w:rsidRPr="00000000">
        <w:rPr>
          <w:i w:val="1"/>
          <w:sz w:val="24"/>
          <w:szCs w:val="24"/>
          <w:rtl w:val="0"/>
        </w:rPr>
        <w:t xml:space="preserve">Pantoea stewartii</w:t>
      </w:r>
      <w:r w:rsidDel="00000000" w:rsidR="00000000" w:rsidRPr="00000000">
        <w:rPr>
          <w:sz w:val="24"/>
          <w:szCs w:val="24"/>
          <w:rtl w:val="0"/>
        </w:rPr>
        <w:t xml:space="preserve"> por semillas es muy baja, si es que ocurre.</w:t>
      </w:r>
    </w:p>
    <w:p w:rsidR="00000000" w:rsidDel="00000000" w:rsidP="00000000" w:rsidRDefault="00000000" w:rsidRPr="00000000" w14:paraId="00000054">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g42kqnkiq29a" w:id="8"/>
      <w:bookmarkEnd w:id="8"/>
      <w:r w:rsidDel="00000000" w:rsidR="00000000" w:rsidRPr="00000000">
        <w:rPr>
          <w:rtl w:val="0"/>
        </w:rPr>
      </w:r>
    </w:p>
    <w:p w:rsidR="00000000" w:rsidDel="00000000" w:rsidP="00000000" w:rsidRDefault="00000000" w:rsidRPr="00000000" w14:paraId="00000055">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ndzi8be8sjcm" w:id="9"/>
      <w:bookmarkEnd w:id="9"/>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 Incidencia</w:t>
      </w:r>
    </w:p>
    <w:p w:rsidR="00000000" w:rsidDel="00000000" w:rsidP="00000000" w:rsidRDefault="00000000" w:rsidRPr="00000000" w14:paraId="00000056">
      <w:pPr>
        <w:spacing w:after="200" w:line="276" w:lineRule="auto"/>
        <w:ind w:firstLine="720"/>
        <w:jc w:val="both"/>
        <w:rPr>
          <w:sz w:val="24"/>
          <w:szCs w:val="24"/>
        </w:rPr>
      </w:pPr>
      <w:r w:rsidDel="00000000" w:rsidR="00000000" w:rsidRPr="00000000">
        <w:rPr>
          <w:sz w:val="24"/>
          <w:szCs w:val="24"/>
          <w:rtl w:val="0"/>
        </w:rPr>
        <w:t xml:space="preserve">De acuerdo con Pataky &amp; Ikin (2003), la bacteria no posee limitaciones ambientales para su desarrollo, las condiciones favorables para el crecimiento del maíz también lo son para la bacteria. Sin embargo, lo que sí puede afectar la incidencia de la enfermedad es la actividad del vector.</w:t>
      </w:r>
    </w:p>
    <w:p w:rsidR="00000000" w:rsidDel="00000000" w:rsidP="00000000" w:rsidRDefault="00000000" w:rsidRPr="00000000" w14:paraId="00000057">
      <w:pPr>
        <w:spacing w:after="200" w:line="276" w:lineRule="auto"/>
        <w:ind w:firstLine="720"/>
        <w:jc w:val="both"/>
        <w:rPr>
          <w:sz w:val="24"/>
          <w:szCs w:val="24"/>
        </w:rPr>
      </w:pPr>
      <w:r w:rsidDel="00000000" w:rsidR="00000000" w:rsidRPr="00000000">
        <w:rPr>
          <w:color w:val="000000"/>
          <w:sz w:val="24"/>
          <w:szCs w:val="24"/>
          <w:rtl w:val="0"/>
        </w:rPr>
        <w:t xml:space="preserve">De acuerdo a la información suministrada por el Sistema Nacional Argentino de Vigilancia y </w:t>
      </w:r>
      <w:r w:rsidDel="00000000" w:rsidR="00000000" w:rsidRPr="00000000">
        <w:rPr>
          <w:sz w:val="24"/>
          <w:szCs w:val="24"/>
          <w:rtl w:val="0"/>
        </w:rPr>
        <w:t xml:space="preserve">Monitoreo de Plagas (SINAVIMO) el principal vector de la enfermedad </w:t>
      </w:r>
      <w:r w:rsidDel="00000000" w:rsidR="00000000" w:rsidRPr="00000000">
        <w:rPr>
          <w:i w:val="1"/>
          <w:sz w:val="24"/>
          <w:szCs w:val="24"/>
          <w:rtl w:val="0"/>
        </w:rPr>
        <w:t xml:space="preserve">C. pulicaria</w:t>
      </w:r>
      <w:r w:rsidDel="00000000" w:rsidR="00000000" w:rsidRPr="00000000">
        <w:rPr>
          <w:sz w:val="24"/>
          <w:szCs w:val="24"/>
          <w:rtl w:val="0"/>
        </w:rPr>
        <w:t xml:space="preserve"> no está presente en Argentina.</w:t>
      </w:r>
    </w:p>
    <w:p w:rsidR="00000000" w:rsidDel="00000000" w:rsidP="00000000" w:rsidRDefault="00000000" w:rsidRPr="00000000" w14:paraId="00000058">
      <w:pPr>
        <w:spacing w:after="200" w:line="276" w:lineRule="auto"/>
        <w:jc w:val="both"/>
        <w:rPr>
          <w:sz w:val="24"/>
          <w:szCs w:val="24"/>
        </w:rPr>
      </w:pPr>
      <w:bookmarkStart w:colFirst="0" w:colLast="0" w:name="_heading=h.t5l99mj66lta" w:id="10"/>
      <w:bookmarkEnd w:id="10"/>
      <w:r w:rsidDel="00000000" w:rsidR="00000000" w:rsidRPr="00000000">
        <w:rPr>
          <w:rtl w:val="0"/>
        </w:rPr>
      </w:r>
    </w:p>
    <w:p w:rsidR="00000000" w:rsidDel="00000000" w:rsidP="00000000" w:rsidRDefault="00000000" w:rsidRPr="00000000" w14:paraId="00000059">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7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bookmarkStart w:colFirst="0" w:colLast="0" w:name="_heading=h.behpspf26lj5" w:id="11"/>
      <w:bookmarkEnd w:id="11"/>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 Síntomas asociados a los distintos órganos y estadios fenológicos</w:t>
      </w:r>
      <w:r w:rsidDel="00000000" w:rsidR="00000000" w:rsidRPr="00000000">
        <w:rPr>
          <w:rtl w:val="0"/>
        </w:rPr>
      </w:r>
    </w:p>
    <w:p w:rsidR="00000000" w:rsidDel="00000000" w:rsidP="00000000" w:rsidRDefault="00000000" w:rsidRPr="00000000" w14:paraId="0000005A">
      <w:pPr>
        <w:spacing w:after="200" w:line="276" w:lineRule="auto"/>
        <w:ind w:firstLine="720"/>
        <w:jc w:val="both"/>
        <w:rPr>
          <w:sz w:val="24"/>
          <w:szCs w:val="24"/>
        </w:rPr>
      </w:pPr>
      <w:r w:rsidDel="00000000" w:rsidR="00000000" w:rsidRPr="00000000">
        <w:rPr>
          <w:sz w:val="24"/>
          <w:szCs w:val="24"/>
          <w:rtl w:val="0"/>
        </w:rPr>
        <w:t xml:space="preserve">La gravedad de la infección y el grado relativo de resistencia o susceptibilidad de una planta se asocian con el movimiento intraplanta de </w:t>
      </w:r>
      <w:r w:rsidDel="00000000" w:rsidR="00000000" w:rsidRPr="00000000">
        <w:rPr>
          <w:i w:val="1"/>
          <w:sz w:val="24"/>
          <w:szCs w:val="24"/>
          <w:rtl w:val="0"/>
        </w:rPr>
        <w:t xml:space="preserve">Pantoea stewartii </w:t>
      </w:r>
      <w:r w:rsidDel="00000000" w:rsidR="00000000" w:rsidRPr="00000000">
        <w:rPr>
          <w:sz w:val="24"/>
          <w:szCs w:val="24"/>
          <w:rtl w:val="0"/>
        </w:rPr>
        <w:t xml:space="preserve">subsp</w:t>
      </w:r>
      <w:r w:rsidDel="00000000" w:rsidR="00000000" w:rsidRPr="00000000">
        <w:rPr>
          <w:i w:val="1"/>
          <w:sz w:val="24"/>
          <w:szCs w:val="24"/>
          <w:rtl w:val="0"/>
        </w:rPr>
        <w:t xml:space="preserve">. stewartii</w:t>
      </w:r>
      <w:r w:rsidDel="00000000" w:rsidR="00000000" w:rsidRPr="00000000">
        <w:rPr>
          <w:sz w:val="24"/>
          <w:szCs w:val="24"/>
          <w:rtl w:val="0"/>
        </w:rPr>
        <w:t xml:space="preserve">. En plantas con reacciones altamente susceptibles, la infección es sistémica y la bacteria se puede aislar de los tejidos de toda la planta, incluida la semilla. En plantas con reacciones resistentes, la bacteria generalmente se restringe a los tejidos cercanos al sitio de la infección, es decir, las heridas por las que se alimentan los insectos (CABI, 2020) y alrededor de estos puntos de entrada se desarrollan los primeros síntomas (CIMMYT, 2004, De León, 1984 y Paliwal, 2001).</w:t>
      </w:r>
    </w:p>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76" w:lineRule="auto"/>
        <w:jc w:val="both"/>
        <w:rPr>
          <w:color w:val="000000"/>
          <w:sz w:val="24"/>
          <w:szCs w:val="24"/>
        </w:rPr>
      </w:pPr>
      <w:r w:rsidDel="00000000" w:rsidR="00000000" w:rsidRPr="00000000">
        <w:rPr>
          <w:sz w:val="24"/>
          <w:szCs w:val="24"/>
          <w:rtl w:val="0"/>
        </w:rPr>
        <w:tab/>
      </w:r>
      <w:r w:rsidDel="00000000" w:rsidR="00000000" w:rsidRPr="00000000">
        <w:rPr>
          <w:color w:val="000000"/>
          <w:sz w:val="24"/>
          <w:szCs w:val="24"/>
          <w:rtl w:val="0"/>
        </w:rPr>
        <w:t xml:space="preserve">La enfermedad posee 2 etapas o fases, que se diferencian por el momento en que ocurre la infección.</w:t>
      </w:r>
    </w:p>
    <w:p w:rsidR="00000000" w:rsidDel="00000000" w:rsidP="00000000" w:rsidRDefault="00000000" w:rsidRPr="00000000" w14:paraId="0000005C">
      <w:pPr>
        <w:spacing w:after="200" w:line="276" w:lineRule="auto"/>
        <w:jc w:val="both"/>
        <w:rPr>
          <w:sz w:val="24"/>
          <w:szCs w:val="24"/>
        </w:rPr>
      </w:pPr>
      <w:r w:rsidDel="00000000" w:rsidR="00000000" w:rsidRPr="00000000">
        <w:rPr>
          <w:rtl w:val="0"/>
        </w:rPr>
      </w:r>
    </w:p>
    <w:p w:rsidR="00000000" w:rsidDel="00000000" w:rsidP="00000000" w:rsidRDefault="00000000" w:rsidRPr="00000000" w14:paraId="0000005D">
      <w:pPr>
        <w:pStyle w:val="Heading4"/>
        <w:keepNext w:val="1"/>
        <w:keepLines w:val="1"/>
        <w:spacing w:after="200" w:before="240" w:lineRule="auto"/>
        <w:rPr>
          <w:i w:val="1"/>
          <w:vertAlign w:val="baseline"/>
        </w:rPr>
      </w:pPr>
      <w:bookmarkStart w:colFirst="0" w:colLast="0" w:name="_heading=h.3o7alnk" w:id="12"/>
      <w:bookmarkEnd w:id="12"/>
      <w:r w:rsidDel="00000000" w:rsidR="00000000" w:rsidRPr="00000000">
        <w:rPr>
          <w:i w:val="1"/>
          <w:vertAlign w:val="baseline"/>
          <w:rtl w:val="0"/>
        </w:rPr>
        <w:t xml:space="preserve">1.3.3.1 Etapa 1: Estado de plántula </w:t>
      </w:r>
    </w:p>
    <w:p w:rsidR="00000000" w:rsidDel="00000000" w:rsidP="00000000" w:rsidRDefault="00000000" w:rsidRPr="00000000" w14:paraId="0000005E">
      <w:pPr>
        <w:spacing w:after="200" w:line="276" w:lineRule="auto"/>
        <w:ind w:firstLine="720"/>
        <w:jc w:val="both"/>
        <w:rPr>
          <w:sz w:val="24"/>
          <w:szCs w:val="24"/>
        </w:rPr>
      </w:pPr>
      <w:r w:rsidDel="00000000" w:rsidR="00000000" w:rsidRPr="00000000">
        <w:rPr>
          <w:sz w:val="24"/>
          <w:szCs w:val="24"/>
          <w:rtl w:val="0"/>
        </w:rPr>
        <w:t xml:space="preserve">La infección ocurre durante los estados iniciales de desarrollo de la planta (De León, 1984 y Paliwal, 2001). Cuando los cultivares susceptibles se infectan como plántulas, la Enfermedad de Stewart del maíz se distingue por la presencia de síntomas observables como lesiones alargadas y acuosas con márgenes irregulares u ondulados a lo largo de las hojas (CABI, 2020, CIMMYT, 2004, De León, 1984 y Paliwal, 2001). Luego continúa desarrollándose a lo largo de las nervaduras (Figura 1) (De León, 1984) y adquieren un color amarillo claro con márgenes irregulares (Figura 2) (CIMMYT, 2004).</w:t>
      </w:r>
    </w:p>
    <w:p w:rsidR="00000000" w:rsidDel="00000000" w:rsidP="00000000" w:rsidRDefault="00000000" w:rsidRPr="00000000" w14:paraId="0000005F">
      <w:pPr>
        <w:spacing w:after="200" w:line="276" w:lineRule="auto"/>
        <w:ind w:firstLine="720"/>
        <w:jc w:val="both"/>
        <w:rPr>
          <w:sz w:val="24"/>
          <w:szCs w:val="24"/>
        </w:rPr>
      </w:pPr>
      <w:r w:rsidDel="00000000" w:rsidR="00000000" w:rsidRPr="00000000">
        <w:rPr>
          <w:sz w:val="24"/>
          <w:szCs w:val="24"/>
          <w:rtl w:val="0"/>
        </w:rPr>
        <w:t xml:space="preserve">La infección sistémica ocurre en cultivares susceptibles y moderadamente susceptibles y los síntomas foliares distintivos se evidencian en las hojas nuevas que emergen del verticilo de la planta (CABI, 2020). En ataques severos, finalmente las lesiones se fusionan causando una necrosis total de la hoja, las plántulas infectadas muestran un crecimiento anormal, se marchitan y a menudo mueren poco después de florecer (De León, 1984 y Paliwal, 2001).</w:t>
      </w:r>
    </w:p>
    <w:p w:rsidR="00000000" w:rsidDel="00000000" w:rsidP="00000000" w:rsidRDefault="00000000" w:rsidRPr="00000000" w14:paraId="00000060">
      <w:pPr>
        <w:spacing w:after="200" w:line="276" w:lineRule="auto"/>
        <w:ind w:firstLine="720"/>
        <w:jc w:val="both"/>
        <w:rPr>
          <w:sz w:val="24"/>
          <w:szCs w:val="24"/>
        </w:rPr>
      </w:pPr>
      <w:r w:rsidDel="00000000" w:rsidR="00000000" w:rsidRPr="00000000">
        <w:rPr>
          <w:sz w:val="24"/>
          <w:szCs w:val="24"/>
          <w:rtl w:val="0"/>
        </w:rPr>
        <w:t xml:space="preserve">Las infecciones sistémicas en estado de plántulas y estados vegetativos causan retraso del crecimiento y desarrollo de la planta, se verá retrasada la polinización y estas plantas rara vez llegan a estado reproductivo (ANPROS y CABI, 2020). Las plantas gravemente infectadas no producen mazorcas (CIMMYT, 2004), muestran un crecimiento anormalmente débil y mueren al florecer o inmediatamente después (Paliwal, 2001).</w:t>
      </w:r>
    </w:p>
    <w:p w:rsidR="00000000" w:rsidDel="00000000" w:rsidP="00000000" w:rsidRDefault="00000000" w:rsidRPr="00000000" w14:paraId="00000061">
      <w:pPr>
        <w:spacing w:after="200" w:line="276" w:lineRule="auto"/>
        <w:ind w:firstLine="720"/>
        <w:jc w:val="both"/>
        <w:rPr>
          <w:sz w:val="24"/>
          <w:szCs w:val="24"/>
        </w:rPr>
      </w:pPr>
      <w:r w:rsidDel="00000000" w:rsidR="00000000" w:rsidRPr="00000000">
        <w:rPr>
          <w:sz w:val="24"/>
          <w:szCs w:val="24"/>
          <w:rtl w:val="0"/>
        </w:rPr>
        <w:t xml:space="preserve">Si las plantas sobreviven a la infección, estarán tan retrasadas que no ocurrirá polinización o la semilla no madurará en la época indicada (ANPROS, 2020) y las que llegan a formar semilla, producen espigas pequeñas, estériles o con formación de grano deficiente (CIMMYT, 2004). A su vez, la panoja será blanquecina y de aspecto débil (ANPROS, 2020) o podrá producirse una panoja prematura, blanqueada y muerta (CABI, 2020).</w:t>
      </w:r>
    </w:p>
    <w:p w:rsidR="00000000" w:rsidDel="00000000" w:rsidP="00000000" w:rsidRDefault="00000000" w:rsidRPr="00000000" w14:paraId="00000062">
      <w:pPr>
        <w:spacing w:after="200" w:line="276" w:lineRule="auto"/>
        <w:ind w:firstLine="720"/>
        <w:jc w:val="both"/>
        <w:rPr>
          <w:sz w:val="24"/>
          <w:szCs w:val="24"/>
        </w:rPr>
      </w:pPr>
      <w:r w:rsidDel="00000000" w:rsidR="00000000" w:rsidRPr="00000000">
        <w:rPr>
          <w:sz w:val="24"/>
          <w:szCs w:val="24"/>
          <w:rtl w:val="0"/>
        </w:rPr>
        <w:t xml:space="preserve">También, cuando la infección es sistémica pueden formarse caries en los tallos cerca de la línea del suelo, y en casos de infección grave, el exudado bacteriano puede supurar a través de los estomas de las cáscaras internas. La superficie de los granos envueltos puede luego cubrirse con limo bacteriano (CABI, 2020).</w:t>
      </w:r>
    </w:p>
    <w:p w:rsidR="00000000" w:rsidDel="00000000" w:rsidP="00000000" w:rsidRDefault="00000000" w:rsidRPr="00000000" w14:paraId="00000063">
      <w:pPr>
        <w:spacing w:after="200" w:line="276" w:lineRule="auto"/>
        <w:ind w:firstLine="720"/>
        <w:jc w:val="both"/>
        <w:rPr>
          <w:sz w:val="24"/>
          <w:szCs w:val="24"/>
        </w:rPr>
      </w:pPr>
      <w:r w:rsidDel="00000000" w:rsidR="00000000" w:rsidRPr="00000000">
        <w:rPr>
          <w:sz w:val="24"/>
          <w:szCs w:val="24"/>
          <w:rtl w:val="0"/>
        </w:rPr>
        <w:t xml:space="preserve">Una infección al final del ciclo de cultivo puede causar necrosis foliar grave pero no marchitez (Figura 5) (CIMMYT, 2004).</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720"/>
        <w:jc w:val="both"/>
        <w:rPr>
          <w:b w:val="1"/>
          <w:sz w:val="24"/>
          <w:szCs w:val="24"/>
        </w:rPr>
      </w:pPr>
      <w:r w:rsidDel="00000000" w:rsidR="00000000" w:rsidRPr="00000000">
        <w:rPr>
          <w:sz w:val="24"/>
          <w:szCs w:val="24"/>
          <w:rtl w:val="0"/>
        </w:rPr>
        <w:t xml:space="preserve">El</w:t>
      </w:r>
      <w:r w:rsidDel="00000000" w:rsidR="00000000" w:rsidRPr="00000000">
        <w:rPr>
          <w:sz w:val="24"/>
          <w:szCs w:val="24"/>
          <w:rtl w:val="0"/>
        </w:rPr>
        <w:t xml:space="preserve"> uso de semillas sanas y de variedades resistentes puede controlar esta enfermedad (Paliwal, 2001). El impacto de </w:t>
      </w:r>
      <w:r w:rsidDel="00000000" w:rsidR="00000000" w:rsidRPr="00000000">
        <w:rPr>
          <w:i w:val="1"/>
          <w:sz w:val="24"/>
          <w:szCs w:val="24"/>
          <w:rtl w:val="0"/>
        </w:rPr>
        <w:t xml:space="preserve">Pantoea stewartii </w:t>
      </w:r>
      <w:r w:rsidDel="00000000" w:rsidR="00000000" w:rsidRPr="00000000">
        <w:rPr>
          <w:sz w:val="24"/>
          <w:szCs w:val="24"/>
          <w:rtl w:val="0"/>
        </w:rPr>
        <w:t xml:space="preserve">subsp</w:t>
      </w:r>
      <w:r w:rsidDel="00000000" w:rsidR="00000000" w:rsidRPr="00000000">
        <w:rPr>
          <w:i w:val="1"/>
          <w:sz w:val="24"/>
          <w:szCs w:val="24"/>
          <w:rtl w:val="0"/>
        </w:rPr>
        <w:t xml:space="preserve">. stewartii</w:t>
      </w:r>
      <w:r w:rsidDel="00000000" w:rsidR="00000000" w:rsidRPr="00000000">
        <w:rPr>
          <w:sz w:val="24"/>
          <w:szCs w:val="24"/>
          <w:rtl w:val="0"/>
        </w:rPr>
        <w:t xml:space="preserve"> en la producción de maíz ha disminuido gracias al uso de líneas híbridas resistentes, sin embargo, todavía se cultivan híbridos susceptibles debido a sus deseables cualidades agronómicas (CABI, 2020).</w:t>
      </w:r>
      <w:r w:rsidDel="00000000" w:rsidR="00000000" w:rsidRPr="00000000">
        <w:rPr>
          <w:rtl w:val="0"/>
        </w:rPr>
      </w:r>
    </w:p>
    <w:p w:rsidR="00000000" w:rsidDel="00000000" w:rsidP="00000000" w:rsidRDefault="00000000" w:rsidRPr="00000000" w14:paraId="00000065">
      <w:pPr>
        <w:spacing w:after="200" w:line="276" w:lineRule="auto"/>
        <w:ind w:firstLine="720"/>
        <w:jc w:val="both"/>
        <w:rPr>
          <w:sz w:val="24"/>
          <w:szCs w:val="24"/>
        </w:rPr>
      </w:pPr>
      <w:r w:rsidDel="00000000" w:rsidR="00000000" w:rsidRPr="00000000">
        <w:rPr>
          <w:sz w:val="24"/>
          <w:szCs w:val="24"/>
          <w:rtl w:val="0"/>
        </w:rPr>
        <w:t xml:space="preserve">En los cultivares resistentes, los síntomas generalmente se limitan a 2-3 cm alrededor de las heridas que producen los vectores cuando se alimentan y la infección sistémica ocurre raramente. Si la infección de las plántulas ocurre dentro de una semana de la emergencia, los tallos principales pueden morir, lo que da como resultado un crecimiento profuso de macollos (CABI, 2020).</w:t>
      </w:r>
    </w:p>
    <w:p w:rsidR="00000000" w:rsidDel="00000000" w:rsidP="00000000" w:rsidRDefault="00000000" w:rsidRPr="00000000" w14:paraId="00000066">
      <w:pPr>
        <w:spacing w:after="20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067">
      <w:pPr>
        <w:pStyle w:val="Heading4"/>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40" w:line="276" w:lineRule="auto"/>
        <w:ind w:left="0" w:right="0" w:firstLine="0"/>
        <w:jc w:val="left"/>
        <w:rPr>
          <w:rFonts w:ascii="Arial" w:cs="Arial" w:eastAsia="Arial" w:hAnsi="Arial"/>
          <w:b w:val="0"/>
          <w:i w:val="1"/>
          <w:smallCaps w:val="0"/>
          <w:strike w:val="0"/>
          <w:color w:val="000000"/>
          <w:sz w:val="24"/>
          <w:szCs w:val="24"/>
          <w:u w:val="none"/>
          <w:shd w:fill="auto" w:val="clear"/>
          <w:vertAlign w:val="baseline"/>
        </w:rPr>
      </w:pPr>
      <w:bookmarkStart w:colFirst="0" w:colLast="0" w:name="_heading=h.5woxvqanyl5n" w:id="13"/>
      <w:bookmarkEnd w:id="13"/>
      <w:r w:rsidDel="00000000" w:rsidR="00000000" w:rsidRPr="00000000">
        <w:rPr>
          <w:b w:val="1"/>
          <w:i w:val="1"/>
          <w:sz w:val="24"/>
          <w:szCs w:val="24"/>
          <w:rtl w:val="0"/>
        </w:rPr>
        <w:t xml:space="preserve">1</w:t>
      </w:r>
      <w:r w:rsidDel="00000000" w:rsidR="00000000" w:rsidRPr="00000000">
        <w:rPr>
          <w:rFonts w:ascii="Arial" w:cs="Arial" w:eastAsia="Arial" w:hAnsi="Arial"/>
          <w:b w:val="1"/>
          <w:i w:val="1"/>
          <w:smallCaps w:val="0"/>
          <w:strike w:val="0"/>
          <w:color w:val="000000"/>
          <w:sz w:val="24"/>
          <w:szCs w:val="24"/>
          <w:u w:val="none"/>
          <w:shd w:fill="auto" w:val="clear"/>
          <w:vertAlign w:val="baseline"/>
          <w:rtl w:val="0"/>
        </w:rPr>
        <w:t xml:space="preserve">.3.3.2 Etapa 2: Estado de panoja</w:t>
      </w: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76" w:lineRule="auto"/>
        <w:ind w:firstLine="720"/>
        <w:jc w:val="both"/>
        <w:rPr>
          <w:color w:val="000000"/>
          <w:sz w:val="24"/>
          <w:szCs w:val="24"/>
        </w:rPr>
      </w:pPr>
      <w:r w:rsidDel="00000000" w:rsidR="00000000" w:rsidRPr="00000000">
        <w:rPr>
          <w:color w:val="000000"/>
          <w:sz w:val="24"/>
          <w:szCs w:val="24"/>
          <w:rtl w:val="0"/>
        </w:rPr>
        <w:t xml:space="preserve">Después de la infección inicial, la infección puede llegar al tallo. La fase de tizón foliar de la marchitez de Stewart ocurre después de que se forma la panoja y las infecciones que no fueron detectadas en la primera fase, serán claramente observadas durante los estados reproductivos R2-R3 (ANPROS y CABI, 2020).</w:t>
      </w:r>
    </w:p>
    <w:p w:rsidR="00000000" w:rsidDel="00000000" w:rsidP="00000000" w:rsidRDefault="00000000" w:rsidRPr="00000000" w14:paraId="00000069">
      <w:pPr>
        <w:spacing w:after="200" w:line="276" w:lineRule="auto"/>
        <w:ind w:firstLine="720"/>
        <w:jc w:val="both"/>
        <w:rPr>
          <w:sz w:val="24"/>
          <w:szCs w:val="24"/>
        </w:rPr>
      </w:pPr>
      <w:r w:rsidDel="00000000" w:rsidR="00000000" w:rsidRPr="00000000">
        <w:rPr>
          <w:sz w:val="24"/>
          <w:szCs w:val="24"/>
          <w:rtl w:val="0"/>
        </w:rPr>
        <w:t xml:space="preserve">La bacteria se multiplica y se mueve en el xilema de las plantas (CABI, 2020), tapando los vasos y causando la aparición de síntomas en hojas (Figura 3) (Mezzalama, 2016), y provocando achaparramiento, marchitez y muerte de la planta (Figura 4) (De León, 1984, Paliwal, 2001 y CIMMYT, 2004).</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ffffff" w:val="clear"/>
        <w:spacing w:after="200" w:line="276" w:lineRule="auto"/>
        <w:ind w:firstLine="720"/>
        <w:jc w:val="both"/>
        <w:rPr>
          <w:color w:val="000000"/>
          <w:sz w:val="24"/>
          <w:szCs w:val="24"/>
        </w:rPr>
      </w:pPr>
      <w:r w:rsidDel="00000000" w:rsidR="00000000" w:rsidRPr="00000000">
        <w:rPr>
          <w:color w:val="000000"/>
          <w:sz w:val="24"/>
          <w:szCs w:val="24"/>
          <w:rtl w:val="0"/>
        </w:rPr>
        <w:t xml:space="preserve">Los síntomas de las hojas son similares a los de la fase de marchitez de las plántulas (CABI, 2020) y se caracteriza por el atizonamiento de las hojas inicialmente y después de la panoja. Aparecen rayas de color verde pálido a amarillo, irregulares, cortas a largas y se desarrollan a lo largo de las nervaduras. El tejido sintomático muere y se vuelve de color pajizo a marrón (marchitez lineal) (ANPROS y CABI 2020).</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ffffff" w:val="clear"/>
        <w:spacing w:after="200" w:line="276" w:lineRule="auto"/>
        <w:ind w:firstLine="720"/>
        <w:jc w:val="both"/>
        <w:rPr>
          <w:color w:val="000000"/>
          <w:sz w:val="24"/>
          <w:szCs w:val="24"/>
        </w:rPr>
      </w:pPr>
      <w:r w:rsidDel="00000000" w:rsidR="00000000" w:rsidRPr="00000000">
        <w:rPr>
          <w:color w:val="000000"/>
          <w:sz w:val="24"/>
          <w:szCs w:val="24"/>
          <w:rtl w:val="0"/>
        </w:rPr>
        <w:t xml:space="preserve">Los síntomas foliares se originan a causa de las heridas por alimentación de los vectores. Al igual que los síntomas foliares de la fase de marchitez de la plántula, los tejidos necróticos pueden extenderse a toda la longitud de las hojas o los síntomas pueden limitarse a unos pocos centímetros dependiendo de la resistencia o susceptibilidad del cultivar (CABI, 2020).</w:t>
      </w:r>
    </w:p>
    <w:p w:rsidR="00000000" w:rsidDel="00000000" w:rsidP="00000000" w:rsidRDefault="00000000" w:rsidRPr="00000000" w14:paraId="0000006C">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76" w:lineRule="auto"/>
        <w:jc w:val="both"/>
        <w:rPr>
          <w:color w:val="000000"/>
          <w:sz w:val="24"/>
          <w:szCs w:val="24"/>
        </w:rPr>
      </w:pPr>
      <w:r w:rsidDel="00000000" w:rsidR="00000000" w:rsidRPr="00000000">
        <w:rPr>
          <w:sz w:val="24"/>
          <w:szCs w:val="24"/>
          <w:rtl w:val="0"/>
        </w:rPr>
        <w:tab/>
      </w:r>
      <w:r w:rsidDel="00000000" w:rsidR="00000000" w:rsidRPr="00000000">
        <w:rPr>
          <w:color w:val="000000"/>
          <w:sz w:val="24"/>
          <w:szCs w:val="24"/>
          <w:rtl w:val="0"/>
        </w:rPr>
        <w:t xml:space="preserve">Si bien las plantas no mueren en esta fase, la muerte prematura de las hojas debido al marchitamiento de Stewart predispone a la planta debilitada a la pudrición del tallo y la reducción de los rendimientos (ANPROS y CABI, 2020).</w:t>
      </w:r>
    </w:p>
    <w:p w:rsidR="00000000" w:rsidDel="00000000" w:rsidP="00000000" w:rsidRDefault="00000000" w:rsidRPr="00000000" w14:paraId="0000006D">
      <w:pPr>
        <w:spacing w:after="200"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06E">
      <w:pPr>
        <w:pStyle w:val="Heading3"/>
        <w:spacing w:after="200" w:before="280" w:lineRule="auto"/>
        <w:rPr>
          <w:sz w:val="24"/>
          <w:szCs w:val="24"/>
          <w:vertAlign w:val="baseline"/>
        </w:rPr>
      </w:pPr>
      <w:bookmarkStart w:colFirst="0" w:colLast="0" w:name="_heading=h.g7pcu9a090a2" w:id="14"/>
      <w:bookmarkEnd w:id="14"/>
      <w:r w:rsidDel="00000000" w:rsidR="00000000" w:rsidRPr="00000000">
        <w:rPr>
          <w:sz w:val="24"/>
          <w:szCs w:val="24"/>
          <w:rtl w:val="0"/>
        </w:rPr>
        <w:t xml:space="preserve">1</w:t>
      </w:r>
      <w:r w:rsidDel="00000000" w:rsidR="00000000" w:rsidRPr="00000000">
        <w:rPr>
          <w:sz w:val="24"/>
          <w:szCs w:val="24"/>
          <w:vertAlign w:val="baseline"/>
          <w:rtl w:val="0"/>
        </w:rPr>
        <w:t xml:space="preserve">.3.4 Comportamiento y distribución en los lotes</w:t>
      </w:r>
    </w:p>
    <w:p w:rsidR="00000000" w:rsidDel="00000000" w:rsidP="00000000" w:rsidRDefault="00000000" w:rsidRPr="00000000" w14:paraId="0000006F">
      <w:pPr>
        <w:pBdr>
          <w:top w:space="0" w:sz="0" w:val="nil"/>
          <w:left w:space="0" w:sz="0" w:val="nil"/>
          <w:bottom w:space="0" w:sz="0" w:val="nil"/>
          <w:right w:space="0" w:sz="0" w:val="nil"/>
          <w:between w:space="0" w:sz="0" w:val="nil"/>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200" w:line="276" w:lineRule="auto"/>
        <w:jc w:val="both"/>
        <w:rPr>
          <w:b w:val="1"/>
          <w:color w:val="000000"/>
          <w:sz w:val="24"/>
          <w:szCs w:val="24"/>
        </w:rPr>
      </w:pPr>
      <w:r w:rsidDel="00000000" w:rsidR="00000000" w:rsidRPr="00000000">
        <w:rPr>
          <w:sz w:val="24"/>
          <w:szCs w:val="24"/>
          <w:rtl w:val="0"/>
        </w:rPr>
        <w:tab/>
        <w:t xml:space="preserve">El comportamiento de </w:t>
      </w:r>
      <w:r w:rsidDel="00000000" w:rsidR="00000000" w:rsidRPr="00000000">
        <w:rPr>
          <w:i w:val="1"/>
          <w:sz w:val="24"/>
          <w:szCs w:val="24"/>
          <w:rtl w:val="0"/>
        </w:rPr>
        <w:t xml:space="preserve">Pantoea stewartii </w:t>
      </w:r>
      <w:r w:rsidDel="00000000" w:rsidR="00000000" w:rsidRPr="00000000">
        <w:rPr>
          <w:sz w:val="24"/>
          <w:szCs w:val="24"/>
          <w:rtl w:val="0"/>
        </w:rPr>
        <w:t xml:space="preserve">subsp</w:t>
      </w:r>
      <w:r w:rsidDel="00000000" w:rsidR="00000000" w:rsidRPr="00000000">
        <w:rPr>
          <w:i w:val="1"/>
          <w:sz w:val="24"/>
          <w:szCs w:val="24"/>
          <w:rtl w:val="0"/>
        </w:rPr>
        <w:t xml:space="preserve">. stewartii</w:t>
      </w:r>
      <w:r w:rsidDel="00000000" w:rsidR="00000000" w:rsidRPr="00000000">
        <w:rPr>
          <w:sz w:val="24"/>
          <w:szCs w:val="24"/>
          <w:rtl w:val="0"/>
        </w:rPr>
        <w:t xml:space="preserve"> y su distribución en los lotes está estrechamente relacionado con su forma de dispersión. Cuando la bacteria ingresa con la semilla, en una primera instancia se evidencia un patrón de manchones aislados con plantas sintomáticas. En presencia de un vector, la bacteria se diseminará rápidamente por el lote, volviéndose uniforme la manifestación de síntomas en las plantas.</w:t>
      </w:r>
      <w:r w:rsidDel="00000000" w:rsidR="00000000" w:rsidRPr="00000000">
        <w:rPr>
          <w:rtl w:val="0"/>
        </w:rPr>
      </w:r>
    </w:p>
    <w:p w:rsidR="00000000" w:rsidDel="00000000" w:rsidP="00000000" w:rsidRDefault="00000000" w:rsidRPr="00000000" w14:paraId="00000070">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76" w:lineRule="auto"/>
        <w:ind w:left="0" w:right="0" w:firstLine="0"/>
        <w:jc w:val="left"/>
        <w:rPr>
          <w:sz w:val="24"/>
          <w:szCs w:val="24"/>
          <w:vertAlign w:val="baseline"/>
        </w:rPr>
      </w:pPr>
      <w:bookmarkStart w:colFirst="0" w:colLast="0" w:name="_heading=h.oc8yxb7yj4xd" w:id="15"/>
      <w:bookmarkEnd w:id="15"/>
      <w:r w:rsidDel="00000000" w:rsidR="00000000" w:rsidRPr="00000000">
        <w:rPr>
          <w:sz w:val="24"/>
          <w:szCs w:val="24"/>
          <w:rtl w:val="0"/>
        </w:rPr>
        <w:t xml:space="preserve">1</w:t>
      </w:r>
      <w:r w:rsidDel="00000000" w:rsidR="00000000" w:rsidRPr="00000000">
        <w:rPr>
          <w:sz w:val="24"/>
          <w:szCs w:val="24"/>
          <w:vertAlign w:val="baseline"/>
          <w:rtl w:val="0"/>
        </w:rPr>
        <w:t xml:space="preserve">.3.5 Similitudes con otros patógenos</w:t>
      </w:r>
    </w:p>
    <w:p w:rsidR="00000000" w:rsidDel="00000000" w:rsidP="00000000" w:rsidRDefault="00000000" w:rsidRPr="00000000" w14:paraId="00000072">
      <w:pPr>
        <w:spacing w:after="200" w:line="276" w:lineRule="auto"/>
        <w:ind w:firstLine="720"/>
        <w:jc w:val="both"/>
        <w:rPr>
          <w:sz w:val="24"/>
          <w:szCs w:val="24"/>
        </w:rPr>
      </w:pPr>
      <w:r w:rsidDel="00000000" w:rsidR="00000000" w:rsidRPr="00000000">
        <w:rPr>
          <w:sz w:val="24"/>
          <w:szCs w:val="24"/>
          <w:rtl w:val="0"/>
        </w:rPr>
        <w:t xml:space="preserve">Los síntomas foliares necróticos de las fases de marchitez de las plántulas y de la marchitez de Stewart pueden parecerse a las lesiones múltiples y fusionadas del tizón de la hoja del maíz del norte (NCLB), causado por </w:t>
      </w:r>
      <w:r w:rsidDel="00000000" w:rsidR="00000000" w:rsidRPr="00000000">
        <w:rPr>
          <w:i w:val="1"/>
          <w:sz w:val="24"/>
          <w:szCs w:val="24"/>
          <w:rtl w:val="0"/>
        </w:rPr>
        <w:t xml:space="preserve">Exserohilum turcicum</w:t>
      </w:r>
      <w:r w:rsidDel="00000000" w:rsidR="00000000" w:rsidRPr="00000000">
        <w:rPr>
          <w:sz w:val="24"/>
          <w:szCs w:val="24"/>
          <w:rtl w:val="0"/>
        </w:rPr>
        <w:t xml:space="preserve"> (t. </w:t>
      </w:r>
      <w:r w:rsidDel="00000000" w:rsidR="00000000" w:rsidRPr="00000000">
        <w:rPr>
          <w:i w:val="1"/>
          <w:sz w:val="24"/>
          <w:szCs w:val="24"/>
          <w:rtl w:val="0"/>
        </w:rPr>
        <w:t xml:space="preserve">Setosphaeria turcica</w:t>
      </w:r>
      <w:r w:rsidDel="00000000" w:rsidR="00000000" w:rsidRPr="00000000">
        <w:rPr>
          <w:sz w:val="24"/>
          <w:szCs w:val="24"/>
          <w:rtl w:val="0"/>
        </w:rPr>
        <w:t xml:space="preserve">). Un simple examen microscópico del tejido foliar en busca de exudado bacteriano puede diferenciar fácilmente la marchitez de Stewart y las lesiones NCLB (CABI, 2020).</w:t>
      </w:r>
    </w:p>
    <w:p w:rsidR="00000000" w:rsidDel="00000000" w:rsidP="00000000" w:rsidRDefault="00000000" w:rsidRPr="00000000" w14:paraId="00000073">
      <w:pPr>
        <w:spacing w:after="200" w:line="276" w:lineRule="auto"/>
        <w:ind w:firstLine="720"/>
        <w:jc w:val="both"/>
        <w:rPr>
          <w:color w:val="000000"/>
          <w:sz w:val="24"/>
          <w:szCs w:val="24"/>
        </w:rPr>
      </w:pPr>
      <w:r w:rsidDel="00000000" w:rsidR="00000000" w:rsidRPr="00000000">
        <w:rPr>
          <w:sz w:val="24"/>
          <w:szCs w:val="24"/>
          <w:rtl w:val="0"/>
        </w:rPr>
        <w:t xml:space="preserve">Las plántulas marchitas por </w:t>
      </w:r>
      <w:r w:rsidDel="00000000" w:rsidR="00000000" w:rsidRPr="00000000">
        <w:rPr>
          <w:i w:val="1"/>
          <w:sz w:val="24"/>
          <w:szCs w:val="24"/>
          <w:rtl w:val="0"/>
        </w:rPr>
        <w:t xml:space="preserve">Pantoea stewartii </w:t>
      </w:r>
      <w:r w:rsidDel="00000000" w:rsidR="00000000" w:rsidRPr="00000000">
        <w:rPr>
          <w:sz w:val="24"/>
          <w:szCs w:val="24"/>
          <w:rtl w:val="0"/>
        </w:rPr>
        <w:t xml:space="preserve">subsp</w:t>
      </w:r>
      <w:r w:rsidDel="00000000" w:rsidR="00000000" w:rsidRPr="00000000">
        <w:rPr>
          <w:i w:val="1"/>
          <w:sz w:val="24"/>
          <w:szCs w:val="24"/>
          <w:rtl w:val="0"/>
        </w:rPr>
        <w:t xml:space="preserve">. stewartii</w:t>
      </w:r>
      <w:r w:rsidDel="00000000" w:rsidR="00000000" w:rsidRPr="00000000">
        <w:rPr>
          <w:sz w:val="24"/>
          <w:szCs w:val="24"/>
          <w:rtl w:val="0"/>
        </w:rPr>
        <w:t xml:space="preserve"> también pueden parecerse a plantas que sufren marchitez de plántulas por hongos, daño por insectos, estrés por sequía o deficiencia nutricional. El exudado bacteriano del tejido foliar sintomático también es un método de diagnóstico simple para diferenciar la fase de marchitez de las plántulas de la sequía u otros tipos de estrés de las plántulas (CABI, 2020).</w:t>
      </w:r>
      <w:r w:rsidDel="00000000" w:rsidR="00000000" w:rsidRPr="00000000">
        <w:rPr>
          <w:rtl w:val="0"/>
        </w:rPr>
      </w:r>
    </w:p>
    <w:p w:rsidR="00000000" w:rsidDel="00000000" w:rsidP="00000000" w:rsidRDefault="00000000" w:rsidRPr="00000000" w14:paraId="00000074">
      <w:pPr>
        <w:spacing w:after="0" w:line="276" w:lineRule="auto"/>
        <w:jc w:val="both"/>
        <w:rPr>
          <w:color w:val="000000"/>
          <w:sz w:val="24"/>
          <w:szCs w:val="24"/>
        </w:rPr>
      </w:pPr>
      <w:r w:rsidDel="00000000" w:rsidR="00000000" w:rsidRPr="00000000">
        <w:rPr>
          <w:rtl w:val="0"/>
        </w:rPr>
      </w:r>
    </w:p>
    <w:p w:rsidR="00000000" w:rsidDel="00000000" w:rsidP="00000000" w:rsidRDefault="00000000" w:rsidRPr="00000000" w14:paraId="00000075">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480" w:line="276" w:lineRule="auto"/>
        <w:ind w:left="0" w:right="0" w:firstLine="0"/>
        <w:jc w:val="left"/>
        <w:rPr>
          <w:b w:val="1"/>
          <w:sz w:val="28"/>
          <w:szCs w:val="28"/>
        </w:rPr>
      </w:pPr>
      <w:bookmarkStart w:colFirst="0" w:colLast="0" w:name="_heading=h.u48n3cld3dfz" w:id="16"/>
      <w:bookmarkEnd w:id="16"/>
      <w:r w:rsidDel="00000000" w:rsidR="00000000" w:rsidRPr="00000000">
        <w:rPr>
          <w:b w:val="1"/>
          <w:sz w:val="28"/>
          <w:szCs w:val="28"/>
          <w:rtl w:val="0"/>
        </w:rPr>
        <w:t xml:space="preserve">2. Bibliografía</w:t>
      </w:r>
    </w:p>
    <w:p w:rsidR="00000000" w:rsidDel="00000000" w:rsidP="00000000" w:rsidRDefault="00000000" w:rsidRPr="00000000" w14:paraId="00000076">
      <w:pPr>
        <w:spacing w:after="200" w:before="0" w:line="276" w:lineRule="auto"/>
        <w:ind w:left="720" w:hanging="720"/>
        <w:jc w:val="both"/>
        <w:rPr>
          <w:color w:val="0000ff"/>
          <w:sz w:val="20"/>
          <w:szCs w:val="20"/>
          <w:u w:val="single"/>
        </w:rPr>
      </w:pPr>
      <w:r w:rsidDel="00000000" w:rsidR="00000000" w:rsidRPr="00000000">
        <w:rPr>
          <w:b w:val="1"/>
          <w:sz w:val="20"/>
          <w:szCs w:val="20"/>
          <w:rtl w:val="0"/>
        </w:rPr>
        <w:t xml:space="preserve">ANPROS</w:t>
      </w:r>
      <w:r w:rsidDel="00000000" w:rsidR="00000000" w:rsidRPr="00000000">
        <w:rPr>
          <w:sz w:val="20"/>
          <w:szCs w:val="20"/>
          <w:rtl w:val="0"/>
        </w:rPr>
        <w:t xml:space="preserve">, 2020. Asociación Nacional de Productores de Semillas de Chile.</w:t>
      </w:r>
      <w:hyperlink r:id="rId9">
        <w:r w:rsidDel="00000000" w:rsidR="00000000" w:rsidRPr="00000000">
          <w:rPr>
            <w:sz w:val="20"/>
            <w:szCs w:val="20"/>
            <w:rtl w:val="0"/>
          </w:rPr>
          <w:t xml:space="preserve"> </w:t>
        </w:r>
      </w:hyperlink>
      <w:hyperlink r:id="rId10">
        <w:r w:rsidDel="00000000" w:rsidR="00000000" w:rsidRPr="00000000">
          <w:rPr>
            <w:color w:val="0000ff"/>
            <w:sz w:val="20"/>
            <w:szCs w:val="20"/>
            <w:u w:val="single"/>
            <w:rtl w:val="0"/>
          </w:rPr>
          <w:t xml:space="preserve">http://www.anproschile.cl/wp-content/uploads/2018/10/Erwinia-stewartii.pdf</w:t>
        </w:r>
      </w:hyperlink>
      <w:r w:rsidDel="00000000" w:rsidR="00000000" w:rsidRPr="00000000">
        <w:rPr>
          <w:rtl w:val="0"/>
        </w:rPr>
      </w:r>
    </w:p>
    <w:p w:rsidR="00000000" w:rsidDel="00000000" w:rsidP="00000000" w:rsidRDefault="00000000" w:rsidRPr="00000000" w14:paraId="00000077">
      <w:pPr>
        <w:spacing w:after="0" w:before="0" w:line="276" w:lineRule="auto"/>
        <w:ind w:left="720" w:hanging="720"/>
        <w:jc w:val="both"/>
        <w:rPr>
          <w:color w:val="0000ff"/>
          <w:sz w:val="20"/>
          <w:szCs w:val="20"/>
          <w:u w:val="single"/>
        </w:rPr>
      </w:pPr>
      <w:r w:rsidDel="00000000" w:rsidR="00000000" w:rsidRPr="00000000">
        <w:rPr>
          <w:b w:val="1"/>
          <w:sz w:val="20"/>
          <w:szCs w:val="20"/>
          <w:rtl w:val="0"/>
        </w:rPr>
        <w:t xml:space="preserve">CABI</w:t>
      </w:r>
      <w:r w:rsidDel="00000000" w:rsidR="00000000" w:rsidRPr="00000000">
        <w:rPr>
          <w:sz w:val="20"/>
          <w:szCs w:val="20"/>
          <w:rtl w:val="0"/>
        </w:rPr>
        <w:t xml:space="preserve">, 2020. Invasive Species Compendium.</w:t>
      </w:r>
      <w:hyperlink r:id="rId11">
        <w:r w:rsidDel="00000000" w:rsidR="00000000" w:rsidRPr="00000000">
          <w:rPr>
            <w:sz w:val="20"/>
            <w:szCs w:val="20"/>
            <w:rtl w:val="0"/>
          </w:rPr>
          <w:t xml:space="preserve"> </w:t>
        </w:r>
      </w:hyperlink>
      <w:hyperlink r:id="rId12">
        <w:r w:rsidDel="00000000" w:rsidR="00000000" w:rsidRPr="00000000">
          <w:rPr>
            <w:color w:val="0000ff"/>
            <w:sz w:val="20"/>
            <w:szCs w:val="20"/>
            <w:u w:val="single"/>
            <w:rtl w:val="0"/>
          </w:rPr>
          <w:t xml:space="preserve">https://www.cabi.org/isc/datasheet/21939</w:t>
        </w:r>
      </w:hyperlink>
      <w:r w:rsidDel="00000000" w:rsidR="00000000" w:rsidRPr="00000000">
        <w:rPr>
          <w:rtl w:val="0"/>
        </w:rPr>
      </w:r>
    </w:p>
    <w:p w:rsidR="00000000" w:rsidDel="00000000" w:rsidP="00000000" w:rsidRDefault="00000000" w:rsidRPr="00000000" w14:paraId="00000078">
      <w:pPr>
        <w:spacing w:after="200" w:before="0" w:line="276" w:lineRule="auto"/>
        <w:ind w:left="720" w:hanging="720"/>
        <w:jc w:val="both"/>
        <w:rPr>
          <w:sz w:val="20"/>
          <w:szCs w:val="20"/>
        </w:rPr>
      </w:pPr>
      <w:r w:rsidDel="00000000" w:rsidR="00000000" w:rsidRPr="00000000">
        <w:rPr>
          <w:b w:val="1"/>
          <w:sz w:val="20"/>
          <w:szCs w:val="20"/>
          <w:rtl w:val="0"/>
        </w:rPr>
        <w:t xml:space="preserve">CIMMYT</w:t>
      </w:r>
      <w:r w:rsidDel="00000000" w:rsidR="00000000" w:rsidRPr="00000000">
        <w:rPr>
          <w:sz w:val="20"/>
          <w:szCs w:val="20"/>
          <w:rtl w:val="0"/>
        </w:rPr>
        <w:t xml:space="preserve">, 2004. Enfermedades del maíz: una guía para su identificación en el campo. Cuarta edición. México,D.F.: Programa de Maíz del CIMMYT.</w:t>
      </w:r>
    </w:p>
    <w:p w:rsidR="00000000" w:rsidDel="00000000" w:rsidP="00000000" w:rsidRDefault="00000000" w:rsidRPr="00000000" w14:paraId="00000079">
      <w:pPr>
        <w:spacing w:after="200" w:before="0" w:line="276" w:lineRule="auto"/>
        <w:ind w:left="720" w:hanging="720"/>
        <w:jc w:val="both"/>
        <w:rPr>
          <w:sz w:val="20"/>
          <w:szCs w:val="20"/>
        </w:rPr>
      </w:pPr>
      <w:r w:rsidDel="00000000" w:rsidR="00000000" w:rsidRPr="00000000">
        <w:rPr>
          <w:b w:val="1"/>
          <w:sz w:val="20"/>
          <w:szCs w:val="20"/>
          <w:rtl w:val="0"/>
        </w:rPr>
        <w:t xml:space="preserve">De León, C.</w:t>
      </w:r>
      <w:r w:rsidDel="00000000" w:rsidR="00000000" w:rsidRPr="00000000">
        <w:rPr>
          <w:sz w:val="20"/>
          <w:szCs w:val="20"/>
          <w:rtl w:val="0"/>
        </w:rPr>
        <w:t xml:space="preserve"> 1984. Enfermedades del Maiz. Una Guía para su Identificación en el Campo. Centro Internacional de Mejoramiento de Maíz y Trigo (CIMMYT). 3ra. Edición. </w:t>
      </w:r>
    </w:p>
    <w:p w:rsidR="00000000" w:rsidDel="00000000" w:rsidP="00000000" w:rsidRDefault="00000000" w:rsidRPr="00000000" w14:paraId="0000007A">
      <w:pPr>
        <w:spacing w:after="200" w:before="0" w:line="276" w:lineRule="auto"/>
        <w:ind w:left="720" w:hanging="720"/>
        <w:jc w:val="both"/>
        <w:rPr>
          <w:sz w:val="20"/>
          <w:szCs w:val="20"/>
        </w:rPr>
      </w:pPr>
      <w:r w:rsidDel="00000000" w:rsidR="00000000" w:rsidRPr="00000000">
        <w:rPr>
          <w:b w:val="1"/>
          <w:sz w:val="20"/>
          <w:szCs w:val="20"/>
          <w:rtl w:val="0"/>
        </w:rPr>
        <w:t xml:space="preserve">EPPO Global Database</w:t>
      </w:r>
      <w:r w:rsidDel="00000000" w:rsidR="00000000" w:rsidRPr="00000000">
        <w:rPr>
          <w:sz w:val="20"/>
          <w:szCs w:val="20"/>
          <w:rtl w:val="0"/>
        </w:rPr>
        <w:t xml:space="preserve">, 2020.</w:t>
      </w:r>
      <w:hyperlink r:id="rId13">
        <w:r w:rsidDel="00000000" w:rsidR="00000000" w:rsidRPr="00000000">
          <w:rPr>
            <w:sz w:val="20"/>
            <w:szCs w:val="20"/>
            <w:rtl w:val="0"/>
          </w:rPr>
          <w:t xml:space="preserve"> </w:t>
        </w:r>
      </w:hyperlink>
      <w:hyperlink r:id="rId14">
        <w:r w:rsidDel="00000000" w:rsidR="00000000" w:rsidRPr="00000000">
          <w:rPr>
            <w:color w:val="0000ff"/>
            <w:sz w:val="20"/>
            <w:szCs w:val="20"/>
            <w:u w:val="single"/>
            <w:rtl w:val="0"/>
          </w:rPr>
          <w:t xml:space="preserve">https://gd.eppo.int/taxon/ERWIST</w:t>
        </w:r>
      </w:hyperlink>
      <w:r w:rsidDel="00000000" w:rsidR="00000000" w:rsidRPr="00000000">
        <w:rPr>
          <w:sz w:val="20"/>
          <w:szCs w:val="20"/>
          <w:rtl w:val="0"/>
        </w:rPr>
        <w:t xml:space="preserve"> </w:t>
      </w:r>
    </w:p>
    <w:p w:rsidR="00000000" w:rsidDel="00000000" w:rsidP="00000000" w:rsidRDefault="00000000" w:rsidRPr="00000000" w14:paraId="0000007B">
      <w:pPr>
        <w:spacing w:after="200" w:before="0" w:line="276" w:lineRule="auto"/>
        <w:ind w:left="720" w:hanging="720"/>
        <w:jc w:val="both"/>
        <w:rPr>
          <w:color w:val="0000ff"/>
          <w:sz w:val="20"/>
          <w:szCs w:val="20"/>
          <w:u w:val="single"/>
        </w:rPr>
      </w:pPr>
      <w:r w:rsidDel="00000000" w:rsidR="00000000" w:rsidRPr="00000000">
        <w:rPr>
          <w:b w:val="1"/>
          <w:sz w:val="20"/>
          <w:szCs w:val="20"/>
          <w:rtl w:val="0"/>
        </w:rPr>
        <w:t xml:space="preserve">INTA</w:t>
      </w:r>
      <w:r w:rsidDel="00000000" w:rsidR="00000000" w:rsidRPr="00000000">
        <w:rPr>
          <w:sz w:val="20"/>
          <w:szCs w:val="20"/>
          <w:rtl w:val="0"/>
        </w:rPr>
        <w:t xml:space="preserve">, 2016. Boletín Fitopatológico Nº 1 – Maíz. ALERTA: el “lunar blanco” afecta a los maíces de Entre Ríos y de la región pampeana. Causas no determinadas. INTA. Centro Regional Entre Ríos - Estación Experimental Agropecuaria Paraná.</w:t>
      </w:r>
      <w:hyperlink r:id="rId15">
        <w:r w:rsidDel="00000000" w:rsidR="00000000" w:rsidRPr="00000000">
          <w:rPr>
            <w:sz w:val="20"/>
            <w:szCs w:val="20"/>
            <w:rtl w:val="0"/>
          </w:rPr>
          <w:t xml:space="preserve"> </w:t>
        </w:r>
      </w:hyperlink>
      <w:hyperlink r:id="rId16">
        <w:r w:rsidDel="00000000" w:rsidR="00000000" w:rsidRPr="00000000">
          <w:rPr>
            <w:color w:val="0000ff"/>
            <w:sz w:val="20"/>
            <w:szCs w:val="20"/>
            <w:u w:val="single"/>
            <w:rtl w:val="0"/>
          </w:rPr>
          <w:t xml:space="preserve">https://inta.gob.ar/sites/default/files/inta_boletin_no1_lunar_blanco_formento_0.pdf</w:t>
        </w:r>
      </w:hyperlink>
      <w:r w:rsidDel="00000000" w:rsidR="00000000" w:rsidRPr="00000000">
        <w:rPr>
          <w:rtl w:val="0"/>
        </w:rPr>
      </w:r>
    </w:p>
    <w:p w:rsidR="00000000" w:rsidDel="00000000" w:rsidP="00000000" w:rsidRDefault="00000000" w:rsidRPr="00000000" w14:paraId="0000007C">
      <w:pPr>
        <w:spacing w:after="200" w:before="0" w:line="276" w:lineRule="auto"/>
        <w:ind w:left="720" w:hanging="720"/>
        <w:jc w:val="both"/>
        <w:rPr>
          <w:sz w:val="20"/>
          <w:szCs w:val="20"/>
        </w:rPr>
      </w:pPr>
      <w:r w:rsidDel="00000000" w:rsidR="00000000" w:rsidRPr="00000000">
        <w:rPr>
          <w:b w:val="1"/>
          <w:sz w:val="20"/>
          <w:szCs w:val="20"/>
          <w:rtl w:val="0"/>
        </w:rPr>
        <w:t xml:space="preserve">Mezzalama, M.</w:t>
      </w:r>
      <w:r w:rsidDel="00000000" w:rsidR="00000000" w:rsidRPr="00000000">
        <w:rPr>
          <w:sz w:val="20"/>
          <w:szCs w:val="20"/>
          <w:rtl w:val="0"/>
        </w:rPr>
        <w:t xml:space="preserve"> 2016. Enfermedades bacterianas asociadas a semilla de maíz y trigo. Laboratorio de Sanidad de Semillas. México. </w:t>
      </w:r>
    </w:p>
    <w:p w:rsidR="00000000" w:rsidDel="00000000" w:rsidP="00000000" w:rsidRDefault="00000000" w:rsidRPr="00000000" w14:paraId="0000007D">
      <w:pPr>
        <w:spacing w:after="200" w:before="0" w:line="276" w:lineRule="auto"/>
        <w:ind w:left="720" w:hanging="720"/>
        <w:jc w:val="both"/>
        <w:rPr>
          <w:sz w:val="20"/>
          <w:szCs w:val="20"/>
        </w:rPr>
      </w:pPr>
      <w:r w:rsidDel="00000000" w:rsidR="00000000" w:rsidRPr="00000000">
        <w:rPr>
          <w:b w:val="1"/>
          <w:sz w:val="20"/>
          <w:szCs w:val="20"/>
          <w:rtl w:val="0"/>
        </w:rPr>
        <w:t xml:space="preserve">Paliwal, R.L.</w:t>
      </w:r>
      <w:r w:rsidDel="00000000" w:rsidR="00000000" w:rsidRPr="00000000">
        <w:rPr>
          <w:sz w:val="20"/>
          <w:szCs w:val="20"/>
          <w:rtl w:val="0"/>
        </w:rPr>
        <w:t xml:space="preserve"> 2001. El maíz en los trópicos: Mejoramiento y producción. Ripusudan L. Paliwal, Ex-director Programa de Maíz, CIMMYT. Grupo de Cultivos Alimentarios Extensivos. Servicio de Cultivos y Pastos. Dirección de Producción y Protección Vegetal de la FAO. Roma, 2001.</w:t>
      </w:r>
    </w:p>
    <w:p w:rsidR="00000000" w:rsidDel="00000000" w:rsidP="00000000" w:rsidRDefault="00000000" w:rsidRPr="00000000" w14:paraId="0000007E">
      <w:pPr>
        <w:spacing w:after="200" w:before="0" w:line="276" w:lineRule="auto"/>
        <w:ind w:left="720" w:hanging="720"/>
        <w:jc w:val="both"/>
        <w:rPr>
          <w:sz w:val="20"/>
          <w:szCs w:val="20"/>
        </w:rPr>
      </w:pPr>
      <w:r w:rsidDel="00000000" w:rsidR="00000000" w:rsidRPr="00000000">
        <w:rPr>
          <w:b w:val="1"/>
          <w:sz w:val="20"/>
          <w:szCs w:val="20"/>
          <w:rtl w:val="0"/>
        </w:rPr>
        <w:t xml:space="preserve">Pataky, J. &amp; Ikin</w:t>
      </w:r>
      <w:r w:rsidDel="00000000" w:rsidR="00000000" w:rsidRPr="00000000">
        <w:rPr>
          <w:sz w:val="20"/>
          <w:szCs w:val="20"/>
          <w:rtl w:val="0"/>
        </w:rPr>
        <w:t xml:space="preserve">, R. 2003. Pest Risk analysis. The risk of introducing Erwinia stewartii in maize seed. ISF Secretariat, Switzerland.</w:t>
      </w:r>
    </w:p>
    <w:p w:rsidR="00000000" w:rsidDel="00000000" w:rsidP="00000000" w:rsidRDefault="00000000" w:rsidRPr="00000000" w14:paraId="0000007F">
      <w:pPr>
        <w:spacing w:after="200" w:before="0" w:line="276" w:lineRule="auto"/>
        <w:ind w:left="720" w:hanging="720"/>
        <w:jc w:val="both"/>
        <w:rPr>
          <w:color w:val="0000ff"/>
          <w:sz w:val="20"/>
          <w:szCs w:val="20"/>
          <w:u w:val="single"/>
        </w:rPr>
      </w:pPr>
      <w:r w:rsidDel="00000000" w:rsidR="00000000" w:rsidRPr="00000000">
        <w:rPr>
          <w:b w:val="1"/>
          <w:sz w:val="20"/>
          <w:szCs w:val="20"/>
          <w:rtl w:val="0"/>
        </w:rPr>
        <w:t xml:space="preserve">SINAVIMO</w:t>
      </w:r>
      <w:r w:rsidDel="00000000" w:rsidR="00000000" w:rsidRPr="00000000">
        <w:rPr>
          <w:sz w:val="20"/>
          <w:szCs w:val="20"/>
          <w:rtl w:val="0"/>
        </w:rPr>
        <w:t xml:space="preserve"> 2020. Sistema Nacional Argentino de Vigilancia y Monitoreo de Plagas. SENASA.</w:t>
      </w:r>
      <w:hyperlink r:id="rId17">
        <w:r w:rsidDel="00000000" w:rsidR="00000000" w:rsidRPr="00000000">
          <w:rPr>
            <w:sz w:val="20"/>
            <w:szCs w:val="20"/>
            <w:rtl w:val="0"/>
          </w:rPr>
          <w:t xml:space="preserve"> </w:t>
        </w:r>
      </w:hyperlink>
      <w:hyperlink r:id="rId18">
        <w:r w:rsidDel="00000000" w:rsidR="00000000" w:rsidRPr="00000000">
          <w:rPr>
            <w:color w:val="0000ff"/>
            <w:sz w:val="20"/>
            <w:szCs w:val="20"/>
            <w:u w:val="single"/>
            <w:rtl w:val="0"/>
          </w:rPr>
          <w:t xml:space="preserve">https://www.sinavimo.gov.ar/plaga/chaetocnema-pulicaria</w:t>
        </w:r>
      </w:hyperlink>
      <w:r w:rsidDel="00000000" w:rsidR="00000000" w:rsidRPr="00000000">
        <w:rPr>
          <w:rtl w:val="0"/>
        </w:rPr>
      </w:r>
    </w:p>
    <w:p w:rsidR="00000000" w:rsidDel="00000000" w:rsidP="00000000" w:rsidRDefault="00000000" w:rsidRPr="00000000" w14:paraId="00000080">
      <w:pPr>
        <w:spacing w:after="0" w:before="0" w:line="276" w:lineRule="auto"/>
        <w:ind w:left="720" w:hanging="720"/>
        <w:jc w:val="both"/>
        <w:rPr>
          <w:color w:val="0000ff"/>
          <w:sz w:val="20"/>
          <w:szCs w:val="20"/>
          <w:u w:val="single"/>
        </w:rPr>
      </w:pPr>
      <w:r w:rsidDel="00000000" w:rsidR="00000000" w:rsidRPr="00000000">
        <w:rPr>
          <w:b w:val="1"/>
          <w:sz w:val="20"/>
          <w:szCs w:val="20"/>
          <w:rtl w:val="0"/>
        </w:rPr>
        <w:t xml:space="preserve">UNC</w:t>
      </w:r>
      <w:r w:rsidDel="00000000" w:rsidR="00000000" w:rsidRPr="00000000">
        <w:rPr>
          <w:sz w:val="20"/>
          <w:szCs w:val="20"/>
          <w:rtl w:val="0"/>
        </w:rPr>
        <w:t xml:space="preserve">, 2020. Facultad de Ciencias Agropecuarias. Universidad Nacional de Córdoba. Departamento de Protección Vegetal, Fitopatología.</w:t>
      </w:r>
      <w:hyperlink r:id="rId19">
        <w:r w:rsidDel="00000000" w:rsidR="00000000" w:rsidRPr="00000000">
          <w:rPr>
            <w:sz w:val="20"/>
            <w:szCs w:val="20"/>
            <w:rtl w:val="0"/>
          </w:rPr>
          <w:t xml:space="preserve"> </w:t>
        </w:r>
      </w:hyperlink>
      <w:hyperlink r:id="rId20">
        <w:r w:rsidDel="00000000" w:rsidR="00000000" w:rsidRPr="00000000">
          <w:rPr>
            <w:color w:val="0000ff"/>
            <w:sz w:val="20"/>
            <w:szCs w:val="20"/>
            <w:u w:val="single"/>
            <w:rtl w:val="0"/>
          </w:rPr>
          <w:t xml:space="preserve">https://www.extension.umn.edu/agriculture/crop-diseases/corn/holcusspot.html</w:t>
        </w:r>
      </w:hyperlink>
      <w:r w:rsidDel="00000000" w:rsidR="00000000" w:rsidRPr="00000000">
        <w:rPr>
          <w:rtl w:val="0"/>
        </w:rPr>
      </w:r>
    </w:p>
    <w:p w:rsidR="00000000" w:rsidDel="00000000" w:rsidP="00000000" w:rsidRDefault="00000000" w:rsidRPr="00000000" w14:paraId="00000081">
      <w:pPr>
        <w:spacing w:after="0" w:line="276" w:lineRule="auto"/>
        <w:jc w:val="both"/>
        <w:rPr>
          <w:b w:val="1"/>
          <w:sz w:val="20"/>
          <w:szCs w:val="20"/>
        </w:rPr>
      </w:pPr>
      <w:r w:rsidDel="00000000" w:rsidR="00000000" w:rsidRPr="00000000">
        <w:rPr>
          <w:rtl w:val="0"/>
        </w:rPr>
      </w:r>
    </w:p>
    <w:p w:rsidR="00000000" w:rsidDel="00000000" w:rsidP="00000000" w:rsidRDefault="00000000" w:rsidRPr="00000000" w14:paraId="00000082">
      <w:pPr>
        <w:spacing w:after="0" w:line="276" w:lineRule="auto"/>
        <w:jc w:val="both"/>
        <w:rPr/>
      </w:pPr>
      <w:r w:rsidDel="00000000" w:rsidR="00000000" w:rsidRPr="00000000">
        <w:rPr>
          <w:rtl w:val="0"/>
        </w:rPr>
      </w:r>
    </w:p>
    <w:p w:rsidR="00000000" w:rsidDel="00000000" w:rsidP="00000000" w:rsidRDefault="00000000" w:rsidRPr="00000000" w14:paraId="00000083">
      <w:pPr>
        <w:spacing w:after="0" w:line="276" w:lineRule="auto"/>
        <w:jc w:val="both"/>
        <w:rPr/>
      </w:pPr>
      <w:r w:rsidDel="00000000" w:rsidR="00000000" w:rsidRPr="00000000">
        <w:rPr>
          <w:rtl w:val="0"/>
        </w:rPr>
      </w:r>
    </w:p>
    <w:p w:rsidR="00000000" w:rsidDel="00000000" w:rsidP="00000000" w:rsidRDefault="00000000" w:rsidRPr="00000000" w14:paraId="00000084">
      <w:pPr>
        <w:spacing w:line="240" w:lineRule="auto"/>
        <w:jc w:val="both"/>
        <w:rPr/>
      </w:pPr>
      <w:r w:rsidDel="00000000" w:rsidR="00000000" w:rsidRPr="00000000">
        <w:rPr>
          <w:rtl w:val="0"/>
        </w:rPr>
      </w:r>
    </w:p>
    <w:p w:rsidR="00000000" w:rsidDel="00000000" w:rsidP="00000000" w:rsidRDefault="00000000" w:rsidRPr="00000000" w14:paraId="00000085">
      <w:pPr>
        <w:spacing w:line="240" w:lineRule="auto"/>
        <w:jc w:val="both"/>
        <w:rPr/>
      </w:pPr>
      <w:r w:rsidDel="00000000" w:rsidR="00000000" w:rsidRPr="00000000">
        <w:rPr>
          <w:rtl w:val="0"/>
        </w:rPr>
      </w:r>
    </w:p>
    <w:p w:rsidR="00000000" w:rsidDel="00000000" w:rsidP="00000000" w:rsidRDefault="00000000" w:rsidRPr="00000000" w14:paraId="00000086">
      <w:pPr>
        <w:spacing w:line="240" w:lineRule="auto"/>
        <w:jc w:val="both"/>
        <w:rPr/>
      </w:pPr>
      <w:r w:rsidDel="00000000" w:rsidR="00000000" w:rsidRPr="00000000">
        <w:rPr>
          <w:rtl w:val="0"/>
        </w:rPr>
      </w:r>
    </w:p>
    <w:p w:rsidR="00000000" w:rsidDel="00000000" w:rsidP="00000000" w:rsidRDefault="00000000" w:rsidRPr="00000000" w14:paraId="00000087">
      <w:pPr>
        <w:spacing w:line="240" w:lineRule="auto"/>
        <w:jc w:val="both"/>
        <w:rPr/>
      </w:pPr>
      <w:r w:rsidDel="00000000" w:rsidR="00000000" w:rsidRPr="00000000">
        <w:rPr>
          <w:rtl w:val="0"/>
        </w:rPr>
      </w:r>
    </w:p>
    <w:p w:rsidR="00000000" w:rsidDel="00000000" w:rsidP="00000000" w:rsidRDefault="00000000" w:rsidRPr="00000000" w14:paraId="00000088">
      <w:pPr>
        <w:spacing w:line="240" w:lineRule="auto"/>
        <w:jc w:val="both"/>
        <w:rPr/>
      </w:pPr>
      <w:r w:rsidDel="00000000" w:rsidR="00000000" w:rsidRPr="00000000">
        <w:rPr>
          <w:rtl w:val="0"/>
        </w:rPr>
      </w:r>
    </w:p>
    <w:p w:rsidR="00000000" w:rsidDel="00000000" w:rsidP="00000000" w:rsidRDefault="00000000" w:rsidRPr="00000000" w14:paraId="00000089">
      <w:pPr>
        <w:spacing w:line="240" w:lineRule="auto"/>
        <w:jc w:val="both"/>
        <w:rPr/>
      </w:pPr>
      <w:r w:rsidDel="00000000" w:rsidR="00000000" w:rsidRPr="00000000">
        <w:rPr>
          <w:rtl w:val="0"/>
        </w:rPr>
      </w:r>
    </w:p>
    <w:p w:rsidR="00000000" w:rsidDel="00000000" w:rsidP="00000000" w:rsidRDefault="00000000" w:rsidRPr="00000000" w14:paraId="0000008A">
      <w:pPr>
        <w:spacing w:line="240" w:lineRule="auto"/>
        <w:jc w:val="both"/>
        <w:rPr/>
      </w:pPr>
      <w:r w:rsidDel="00000000" w:rsidR="00000000" w:rsidRPr="00000000">
        <w:rPr>
          <w:rtl w:val="0"/>
        </w:rPr>
      </w:r>
    </w:p>
    <w:p w:rsidR="00000000" w:rsidDel="00000000" w:rsidP="00000000" w:rsidRDefault="00000000" w:rsidRPr="00000000" w14:paraId="0000008B">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4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oecnr7meqaaw" w:id="17"/>
      <w:bookmarkEnd w:id="17"/>
      <w:r w:rsidDel="00000000" w:rsidR="00000000" w:rsidRPr="00000000">
        <w:br w:type="page"/>
      </w:r>
      <w:r w:rsidDel="00000000" w:rsidR="00000000" w:rsidRPr="00000000">
        <w:rPr>
          <w:rtl w:val="0"/>
        </w:rPr>
      </w:r>
    </w:p>
    <w:p w:rsidR="00000000" w:rsidDel="00000000" w:rsidP="00000000" w:rsidRDefault="00000000" w:rsidRPr="00000000" w14:paraId="0000008C">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480" w:line="276" w:lineRule="auto"/>
        <w:ind w:left="0" w:right="0" w:firstLine="0"/>
        <w:jc w:val="left"/>
        <w:rPr>
          <w:b w:val="1"/>
          <w:sz w:val="28"/>
          <w:szCs w:val="28"/>
        </w:rPr>
      </w:pPr>
      <w:bookmarkStart w:colFirst="0" w:colLast="0" w:name="_heading=h.6ahzsr9v8kbk" w:id="18"/>
      <w:bookmarkEnd w:id="18"/>
      <w:r w:rsidDel="00000000" w:rsidR="00000000" w:rsidRPr="00000000">
        <w:rPr>
          <w:b w:val="1"/>
          <w:sz w:val="28"/>
          <w:szCs w:val="28"/>
          <w:rtl w:val="0"/>
        </w:rPr>
        <w:t xml:space="preserve">3. Anexo: Figuras</w:t>
      </w:r>
    </w:p>
    <w:p w:rsidR="00000000" w:rsidDel="00000000" w:rsidP="00000000" w:rsidRDefault="00000000" w:rsidRPr="00000000" w14:paraId="0000008D">
      <w:pPr>
        <w:spacing w:line="240" w:lineRule="auto"/>
        <w:jc w:val="both"/>
        <w:rPr>
          <w:b w:val="1"/>
          <w:color w:val="000000"/>
          <w:sz w:val="24"/>
          <w:szCs w:val="24"/>
        </w:rPr>
      </w:pPr>
      <w:r w:rsidDel="00000000" w:rsidR="00000000" w:rsidRPr="00000000">
        <w:rPr>
          <w:rtl w:val="0"/>
        </w:rPr>
      </w:r>
    </w:p>
    <w:p w:rsidR="00000000" w:rsidDel="00000000" w:rsidP="00000000" w:rsidRDefault="00000000" w:rsidRPr="00000000" w14:paraId="0000008E">
      <w:pPr>
        <w:spacing w:line="240" w:lineRule="auto"/>
        <w:jc w:val="center"/>
        <w:rPr/>
      </w:pPr>
      <w:r w:rsidDel="00000000" w:rsidR="00000000" w:rsidRPr="00000000">
        <w:rPr/>
        <w:drawing>
          <wp:inline distB="0" distT="0" distL="0" distR="0">
            <wp:extent cx="3463007" cy="2502677"/>
            <wp:effectExtent b="0" l="0" r="0" t="0"/>
            <wp:docPr id="192" name="image4.png"/>
            <a:graphic>
              <a:graphicData uri="http://schemas.openxmlformats.org/drawingml/2006/picture">
                <pic:pic>
                  <pic:nvPicPr>
                    <pic:cNvPr id="0" name="image4.png"/>
                    <pic:cNvPicPr preferRelativeResize="0"/>
                  </pic:nvPicPr>
                  <pic:blipFill>
                    <a:blip r:embed="rId21"/>
                    <a:srcRect b="2604" l="6225" r="1256" t="2025"/>
                    <a:stretch>
                      <a:fillRect/>
                    </a:stretch>
                  </pic:blipFill>
                  <pic:spPr>
                    <a:xfrm>
                      <a:off x="0" y="0"/>
                      <a:ext cx="3463007" cy="2502677"/>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240" w:lineRule="auto"/>
        <w:jc w:val="both"/>
        <w:rPr>
          <w:sz w:val="20"/>
          <w:szCs w:val="20"/>
        </w:rPr>
      </w:pPr>
      <w:bookmarkStart w:colFirst="0" w:colLast="0" w:name="_heading=h.1v1yuxt" w:id="19"/>
      <w:bookmarkEnd w:id="19"/>
      <w:r w:rsidDel="00000000" w:rsidR="00000000" w:rsidRPr="00000000">
        <w:rPr>
          <w:b w:val="1"/>
          <w:sz w:val="20"/>
          <w:szCs w:val="20"/>
          <w:rtl w:val="0"/>
        </w:rPr>
        <w:t xml:space="preserve">Figura 1: </w:t>
      </w:r>
      <w:r w:rsidDel="00000000" w:rsidR="00000000" w:rsidRPr="00000000">
        <w:rPr>
          <w:sz w:val="20"/>
          <w:szCs w:val="20"/>
          <w:rtl w:val="0"/>
        </w:rPr>
        <w:t xml:space="preserve">Mancha acuosa continúa desarrollándose a lo largo de las nervaduras (De León, 1984).</w:t>
      </w:r>
    </w:p>
    <w:p w:rsidR="00000000" w:rsidDel="00000000" w:rsidP="00000000" w:rsidRDefault="00000000" w:rsidRPr="00000000" w14:paraId="00000090">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91">
      <w:pPr>
        <w:spacing w:line="240" w:lineRule="auto"/>
        <w:jc w:val="center"/>
        <w:rPr/>
      </w:pPr>
      <w:r w:rsidDel="00000000" w:rsidR="00000000" w:rsidRPr="00000000">
        <w:rPr>
          <w:rtl w:val="0"/>
        </w:rPr>
      </w:r>
    </w:p>
    <w:p w:rsidR="00000000" w:rsidDel="00000000" w:rsidP="00000000" w:rsidRDefault="00000000" w:rsidRPr="00000000" w14:paraId="00000092">
      <w:pPr>
        <w:spacing w:line="240" w:lineRule="auto"/>
        <w:jc w:val="both"/>
        <w:rPr>
          <w:color w:val="000000"/>
          <w:sz w:val="24"/>
          <w:szCs w:val="24"/>
        </w:rPr>
      </w:pPr>
      <w:r w:rsidDel="00000000" w:rsidR="00000000" w:rsidRPr="00000000">
        <w:rPr>
          <w:rtl w:val="0"/>
        </w:rPr>
      </w:r>
    </w:p>
    <w:p w:rsidR="00000000" w:rsidDel="00000000" w:rsidP="00000000" w:rsidRDefault="00000000" w:rsidRPr="00000000" w14:paraId="00000093">
      <w:pPr>
        <w:spacing w:line="240" w:lineRule="auto"/>
        <w:jc w:val="both"/>
        <w:rPr>
          <w:sz w:val="24"/>
          <w:szCs w:val="24"/>
        </w:rPr>
      </w:pPr>
      <w:r w:rsidDel="00000000" w:rsidR="00000000" w:rsidRPr="00000000">
        <w:rPr>
          <w:rtl w:val="0"/>
        </w:rPr>
      </w:r>
    </w:p>
    <w:p w:rsidR="00000000" w:rsidDel="00000000" w:rsidP="00000000" w:rsidRDefault="00000000" w:rsidRPr="00000000" w14:paraId="00000094">
      <w:pPr>
        <w:spacing w:line="240" w:lineRule="auto"/>
        <w:jc w:val="center"/>
        <w:rPr>
          <w:sz w:val="24"/>
          <w:szCs w:val="24"/>
        </w:rPr>
      </w:pPr>
      <w:r w:rsidDel="00000000" w:rsidR="00000000" w:rsidRPr="00000000">
        <w:rPr/>
        <w:drawing>
          <wp:inline distB="0" distT="0" distL="0" distR="0">
            <wp:extent cx="2348068" cy="3581296"/>
            <wp:effectExtent b="0" l="0" r="0" t="0"/>
            <wp:docPr id="191" name="image8.png"/>
            <a:graphic>
              <a:graphicData uri="http://schemas.openxmlformats.org/drawingml/2006/picture">
                <pic:pic>
                  <pic:nvPicPr>
                    <pic:cNvPr id="0" name="image8.png"/>
                    <pic:cNvPicPr preferRelativeResize="0"/>
                  </pic:nvPicPr>
                  <pic:blipFill>
                    <a:blip r:embed="rId22"/>
                    <a:srcRect b="2857" l="5532" r="9737" t="3105"/>
                    <a:stretch>
                      <a:fillRect/>
                    </a:stretch>
                  </pic:blipFill>
                  <pic:spPr>
                    <a:xfrm>
                      <a:off x="0" y="0"/>
                      <a:ext cx="2348068" cy="3581296"/>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spacing w:line="240" w:lineRule="auto"/>
        <w:jc w:val="both"/>
        <w:rPr>
          <w:b w:val="1"/>
          <w:sz w:val="20"/>
          <w:szCs w:val="20"/>
        </w:rPr>
      </w:pPr>
      <w:r w:rsidDel="00000000" w:rsidR="00000000" w:rsidRPr="00000000">
        <w:rPr>
          <w:b w:val="1"/>
          <w:sz w:val="20"/>
          <w:szCs w:val="20"/>
          <w:rtl w:val="0"/>
        </w:rPr>
        <w:t xml:space="preserve">Figura 2:</w:t>
      </w:r>
      <w:r w:rsidDel="00000000" w:rsidR="00000000" w:rsidRPr="00000000">
        <w:rPr>
          <w:sz w:val="20"/>
          <w:szCs w:val="20"/>
          <w:rtl w:val="0"/>
        </w:rPr>
        <w:t xml:space="preserve"> Lesiones de aspecto acuoso, con un margen irregular a lo largo de las nervaduras; a menudo se tornan amarillas y se extienden hacia el tallo (CIMMYT, 2004).</w:t>
      </w:r>
      <w:r w:rsidDel="00000000" w:rsidR="00000000" w:rsidRPr="00000000">
        <w:rPr>
          <w:rtl w:val="0"/>
        </w:rPr>
      </w:r>
    </w:p>
    <w:p w:rsidR="00000000" w:rsidDel="00000000" w:rsidP="00000000" w:rsidRDefault="00000000" w:rsidRPr="00000000" w14:paraId="00000096">
      <w:pPr>
        <w:spacing w:line="240" w:lineRule="auto"/>
        <w:rPr>
          <w:b w:val="1"/>
          <w:sz w:val="24"/>
          <w:szCs w:val="24"/>
        </w:rPr>
      </w:pPr>
      <w:r w:rsidDel="00000000" w:rsidR="00000000" w:rsidRPr="00000000">
        <w:rPr>
          <w:rtl w:val="0"/>
        </w:rPr>
      </w:r>
    </w:p>
    <w:p w:rsidR="00000000" w:rsidDel="00000000" w:rsidP="00000000" w:rsidRDefault="00000000" w:rsidRPr="00000000" w14:paraId="00000097">
      <w:pPr>
        <w:spacing w:line="240" w:lineRule="auto"/>
        <w:rPr>
          <w:b w:val="1"/>
          <w:sz w:val="24"/>
          <w:szCs w:val="24"/>
        </w:rPr>
      </w:pPr>
      <w:r w:rsidDel="00000000" w:rsidR="00000000" w:rsidRPr="00000000">
        <w:rPr>
          <w:rtl w:val="0"/>
        </w:rPr>
      </w:r>
    </w:p>
    <w:p w:rsidR="00000000" w:rsidDel="00000000" w:rsidP="00000000" w:rsidRDefault="00000000" w:rsidRPr="00000000" w14:paraId="00000098">
      <w:pPr>
        <w:spacing w:line="240" w:lineRule="auto"/>
        <w:jc w:val="center"/>
        <w:rPr>
          <w:b w:val="1"/>
          <w:sz w:val="24"/>
          <w:szCs w:val="24"/>
        </w:rPr>
      </w:pPr>
      <w:r w:rsidDel="00000000" w:rsidR="00000000" w:rsidRPr="00000000">
        <w:rPr/>
        <w:drawing>
          <wp:inline distB="0" distT="0" distL="0" distR="0">
            <wp:extent cx="3958831" cy="3081626"/>
            <wp:effectExtent b="0" l="0" r="0" t="0"/>
            <wp:docPr id="194" name="image2.png"/>
            <a:graphic>
              <a:graphicData uri="http://schemas.openxmlformats.org/drawingml/2006/picture">
                <pic:pic>
                  <pic:nvPicPr>
                    <pic:cNvPr id="0" name="image2.png"/>
                    <pic:cNvPicPr preferRelativeResize="0"/>
                  </pic:nvPicPr>
                  <pic:blipFill>
                    <a:blip r:embed="rId23"/>
                    <a:srcRect b="0" l="0" r="0" t="0"/>
                    <a:stretch>
                      <a:fillRect/>
                    </a:stretch>
                  </pic:blipFill>
                  <pic:spPr>
                    <a:xfrm>
                      <a:off x="0" y="0"/>
                      <a:ext cx="3958831" cy="3081626"/>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spacing w:line="240" w:lineRule="auto"/>
        <w:jc w:val="left"/>
        <w:rPr>
          <w:sz w:val="20"/>
          <w:szCs w:val="20"/>
        </w:rPr>
      </w:pPr>
      <w:r w:rsidDel="00000000" w:rsidR="00000000" w:rsidRPr="00000000">
        <w:rPr>
          <w:b w:val="1"/>
          <w:sz w:val="20"/>
          <w:szCs w:val="20"/>
          <w:rtl w:val="0"/>
        </w:rPr>
        <w:t xml:space="preserve">Figura 3:</w:t>
      </w:r>
      <w:r w:rsidDel="00000000" w:rsidR="00000000" w:rsidRPr="00000000">
        <w:rPr>
          <w:sz w:val="20"/>
          <w:szCs w:val="20"/>
          <w:rtl w:val="0"/>
        </w:rPr>
        <w:t xml:space="preserve"> Infección sistémica en plantas en campo (Mezzalama, 2016).</w:t>
      </w:r>
    </w:p>
    <w:p w:rsidR="00000000" w:rsidDel="00000000" w:rsidP="00000000" w:rsidRDefault="00000000" w:rsidRPr="00000000" w14:paraId="0000009A">
      <w:pPr>
        <w:spacing w:line="240" w:lineRule="auto"/>
        <w:rPr>
          <w:sz w:val="24"/>
          <w:szCs w:val="24"/>
        </w:rPr>
      </w:pPr>
      <w:r w:rsidDel="00000000" w:rsidR="00000000" w:rsidRPr="00000000">
        <w:rPr>
          <w:rtl w:val="0"/>
        </w:rPr>
      </w:r>
    </w:p>
    <w:p w:rsidR="00000000" w:rsidDel="00000000" w:rsidP="00000000" w:rsidRDefault="00000000" w:rsidRPr="00000000" w14:paraId="0000009B">
      <w:pPr>
        <w:jc w:val="both"/>
        <w:rPr>
          <w:sz w:val="24"/>
          <w:szCs w:val="24"/>
        </w:rPr>
      </w:pPr>
      <w:r w:rsidDel="00000000" w:rsidR="00000000" w:rsidRPr="00000000">
        <w:rPr>
          <w:rtl w:val="0"/>
        </w:rPr>
      </w:r>
    </w:p>
    <w:p w:rsidR="00000000" w:rsidDel="00000000" w:rsidP="00000000" w:rsidRDefault="00000000" w:rsidRPr="00000000" w14:paraId="0000009C">
      <w:pPr>
        <w:jc w:val="center"/>
        <w:rPr>
          <w:sz w:val="24"/>
          <w:szCs w:val="24"/>
        </w:rPr>
      </w:pPr>
      <w:r w:rsidDel="00000000" w:rsidR="00000000" w:rsidRPr="00000000">
        <w:rPr/>
        <w:drawing>
          <wp:inline distB="0" distT="0" distL="0" distR="0">
            <wp:extent cx="3093693" cy="3970646"/>
            <wp:effectExtent b="0" l="0" r="0" t="0"/>
            <wp:docPr id="193" name="image13.png"/>
            <a:graphic>
              <a:graphicData uri="http://schemas.openxmlformats.org/drawingml/2006/picture">
                <pic:pic>
                  <pic:nvPicPr>
                    <pic:cNvPr id="0" name="image13.png"/>
                    <pic:cNvPicPr preferRelativeResize="0"/>
                  </pic:nvPicPr>
                  <pic:blipFill>
                    <a:blip r:embed="rId24"/>
                    <a:srcRect b="2258" l="8819" r="3336" t="1765"/>
                    <a:stretch>
                      <a:fillRect/>
                    </a:stretch>
                  </pic:blipFill>
                  <pic:spPr>
                    <a:xfrm>
                      <a:off x="0" y="0"/>
                      <a:ext cx="3093693" cy="3970646"/>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jc w:val="both"/>
        <w:rPr>
          <w:sz w:val="20"/>
          <w:szCs w:val="20"/>
        </w:rPr>
      </w:pPr>
      <w:r w:rsidDel="00000000" w:rsidR="00000000" w:rsidRPr="00000000">
        <w:rPr>
          <w:b w:val="1"/>
          <w:sz w:val="20"/>
          <w:szCs w:val="20"/>
          <w:rtl w:val="0"/>
        </w:rPr>
        <w:t xml:space="preserve">Figura 4:</w:t>
      </w:r>
      <w:r w:rsidDel="00000000" w:rsidR="00000000" w:rsidRPr="00000000">
        <w:rPr>
          <w:sz w:val="20"/>
          <w:szCs w:val="20"/>
          <w:rtl w:val="0"/>
        </w:rPr>
        <w:t xml:space="preserve"> El daño puede diseminarse sistemáticamente en el tallo y causar el marchitamiento total de la planta (De León, 1984).</w:t>
      </w:r>
    </w:p>
    <w:p w:rsidR="00000000" w:rsidDel="00000000" w:rsidP="00000000" w:rsidRDefault="00000000" w:rsidRPr="00000000" w14:paraId="0000009E">
      <w:pPr>
        <w:jc w:val="both"/>
        <w:rPr>
          <w:sz w:val="24"/>
          <w:szCs w:val="24"/>
        </w:rPr>
      </w:pPr>
      <w:r w:rsidDel="00000000" w:rsidR="00000000" w:rsidRPr="00000000">
        <w:rPr>
          <w:rtl w:val="0"/>
        </w:rPr>
      </w:r>
    </w:p>
    <w:p w:rsidR="00000000" w:rsidDel="00000000" w:rsidP="00000000" w:rsidRDefault="00000000" w:rsidRPr="00000000" w14:paraId="0000009F">
      <w:pPr>
        <w:jc w:val="both"/>
        <w:rPr>
          <w:sz w:val="24"/>
          <w:szCs w:val="24"/>
        </w:rPr>
      </w:pPr>
      <w:r w:rsidDel="00000000" w:rsidR="00000000" w:rsidRPr="00000000">
        <w:rPr>
          <w:rtl w:val="0"/>
        </w:rPr>
      </w:r>
    </w:p>
    <w:p w:rsidR="00000000" w:rsidDel="00000000" w:rsidP="00000000" w:rsidRDefault="00000000" w:rsidRPr="00000000" w14:paraId="000000A0">
      <w:pPr>
        <w:jc w:val="both"/>
        <w:rPr>
          <w:sz w:val="24"/>
          <w:szCs w:val="24"/>
        </w:rPr>
      </w:pPr>
      <w:r w:rsidDel="00000000" w:rsidR="00000000" w:rsidRPr="00000000">
        <w:rPr>
          <w:rtl w:val="0"/>
        </w:rPr>
      </w:r>
    </w:p>
    <w:p w:rsidR="00000000" w:rsidDel="00000000" w:rsidP="00000000" w:rsidRDefault="00000000" w:rsidRPr="00000000" w14:paraId="000000A1">
      <w:pPr>
        <w:jc w:val="both"/>
        <w:rPr>
          <w:sz w:val="24"/>
          <w:szCs w:val="24"/>
        </w:rPr>
      </w:pPr>
      <w:r w:rsidDel="00000000" w:rsidR="00000000" w:rsidRPr="00000000">
        <w:rPr>
          <w:rtl w:val="0"/>
        </w:rPr>
      </w:r>
    </w:p>
    <w:p w:rsidR="00000000" w:rsidDel="00000000" w:rsidP="00000000" w:rsidRDefault="00000000" w:rsidRPr="00000000" w14:paraId="000000A2">
      <w:pPr>
        <w:jc w:val="center"/>
        <w:rPr>
          <w:sz w:val="24"/>
          <w:szCs w:val="24"/>
        </w:rPr>
      </w:pPr>
      <w:r w:rsidDel="00000000" w:rsidR="00000000" w:rsidRPr="00000000">
        <w:rPr/>
        <w:drawing>
          <wp:inline distB="0" distT="0" distL="0" distR="0">
            <wp:extent cx="3626411" cy="5344570"/>
            <wp:effectExtent b="0" l="0" r="0" t="0"/>
            <wp:docPr id="196" name="image10.png"/>
            <a:graphic>
              <a:graphicData uri="http://schemas.openxmlformats.org/drawingml/2006/picture">
                <pic:pic>
                  <pic:nvPicPr>
                    <pic:cNvPr id="0" name="image10.png"/>
                    <pic:cNvPicPr preferRelativeResize="0"/>
                  </pic:nvPicPr>
                  <pic:blipFill>
                    <a:blip r:embed="rId25"/>
                    <a:srcRect b="2852" l="10548" r="3680" t="2586"/>
                    <a:stretch>
                      <a:fillRect/>
                    </a:stretch>
                  </pic:blipFill>
                  <pic:spPr>
                    <a:xfrm>
                      <a:off x="0" y="0"/>
                      <a:ext cx="3626411" cy="5344570"/>
                    </a:xfrm>
                    <a:prstGeom prst="rect"/>
                    <a:ln/>
                  </pic:spPr>
                </pic:pic>
              </a:graphicData>
            </a:graphic>
          </wp:inline>
        </w:drawing>
      </w:r>
      <w:r w:rsidDel="00000000" w:rsidR="00000000" w:rsidRPr="00000000">
        <w:rPr>
          <w:rtl w:val="0"/>
        </w:rPr>
      </w:r>
    </w:p>
    <w:p w:rsidR="00000000" w:rsidDel="00000000" w:rsidP="00000000" w:rsidRDefault="00000000" w:rsidRPr="00000000" w14:paraId="000000A3">
      <w:pPr>
        <w:jc w:val="both"/>
        <w:rPr>
          <w:b w:val="1"/>
          <w:sz w:val="20"/>
          <w:szCs w:val="20"/>
        </w:rPr>
      </w:pPr>
      <w:r w:rsidDel="00000000" w:rsidR="00000000" w:rsidRPr="00000000">
        <w:rPr>
          <w:b w:val="1"/>
          <w:sz w:val="20"/>
          <w:szCs w:val="20"/>
          <w:rtl w:val="0"/>
        </w:rPr>
        <w:t xml:space="preserve">Figura 5: </w:t>
      </w:r>
      <w:r w:rsidDel="00000000" w:rsidR="00000000" w:rsidRPr="00000000">
        <w:rPr>
          <w:sz w:val="20"/>
          <w:szCs w:val="20"/>
          <w:rtl w:val="0"/>
        </w:rPr>
        <w:t xml:space="preserve">La infección al final del ciclo de cultivo causa necrosis foliar grave pero no marchitez (CIMMYT, 2004).</w:t>
      </w:r>
      <w:r w:rsidDel="00000000" w:rsidR="00000000" w:rsidRPr="00000000">
        <w:rPr>
          <w:rtl w:val="0"/>
        </w:rPr>
      </w:r>
    </w:p>
    <w:p w:rsidR="00000000" w:rsidDel="00000000" w:rsidP="00000000" w:rsidRDefault="00000000" w:rsidRPr="00000000" w14:paraId="000000A4">
      <w:pPr>
        <w:rPr>
          <w:b w:val="1"/>
        </w:rPr>
      </w:pPr>
      <w:r w:rsidDel="00000000" w:rsidR="00000000" w:rsidRPr="00000000">
        <w:rPr>
          <w:rtl w:val="0"/>
        </w:rPr>
      </w:r>
    </w:p>
    <w:p w:rsidR="00000000" w:rsidDel="00000000" w:rsidP="00000000" w:rsidRDefault="00000000" w:rsidRPr="00000000" w14:paraId="000000A5">
      <w:pPr>
        <w:rPr>
          <w:b w:val="1"/>
        </w:rPr>
      </w:pPr>
      <w:r w:rsidDel="00000000" w:rsidR="00000000" w:rsidRPr="00000000">
        <w:rPr>
          <w:rtl w:val="0"/>
        </w:rPr>
      </w:r>
    </w:p>
    <w:p w:rsidR="00000000" w:rsidDel="00000000" w:rsidP="00000000" w:rsidRDefault="00000000" w:rsidRPr="00000000" w14:paraId="000000A6">
      <w:pPr>
        <w:rPr>
          <w:b w:val="1"/>
        </w:rPr>
      </w:pPr>
      <w:r w:rsidDel="00000000" w:rsidR="00000000" w:rsidRPr="00000000">
        <w:rPr>
          <w:rtl w:val="0"/>
        </w:rPr>
      </w:r>
    </w:p>
    <w:p w:rsidR="00000000" w:rsidDel="00000000" w:rsidP="00000000" w:rsidRDefault="00000000" w:rsidRPr="00000000" w14:paraId="000000A7">
      <w:pPr>
        <w:rPr>
          <w:b w:val="1"/>
        </w:rPr>
      </w:pPr>
      <w:r w:rsidDel="00000000" w:rsidR="00000000" w:rsidRPr="00000000">
        <w:rPr>
          <w:rtl w:val="0"/>
        </w:rPr>
      </w:r>
    </w:p>
    <w:p w:rsidR="00000000" w:rsidDel="00000000" w:rsidP="00000000" w:rsidRDefault="00000000" w:rsidRPr="00000000" w14:paraId="000000A8">
      <w:pPr>
        <w:rPr>
          <w:b w:val="1"/>
        </w:rPr>
      </w:pPr>
      <w:r w:rsidDel="00000000" w:rsidR="00000000" w:rsidRPr="00000000">
        <w:rPr>
          <w:rtl w:val="0"/>
        </w:rPr>
      </w:r>
    </w:p>
    <w:p w:rsidR="00000000" w:rsidDel="00000000" w:rsidP="00000000" w:rsidRDefault="00000000" w:rsidRPr="00000000" w14:paraId="000000A9">
      <w:pPr>
        <w:rPr>
          <w:b w:val="1"/>
        </w:rPr>
      </w:pPr>
      <w:r w:rsidDel="00000000" w:rsidR="00000000" w:rsidRPr="00000000">
        <w:rPr>
          <w:rtl w:val="0"/>
        </w:rPr>
      </w:r>
    </w:p>
    <w:p w:rsidR="00000000" w:rsidDel="00000000" w:rsidP="00000000" w:rsidRDefault="00000000" w:rsidRPr="00000000" w14:paraId="000000AA">
      <w:pPr>
        <w:rPr>
          <w:b w:val="1"/>
        </w:rPr>
      </w:pPr>
      <w:r w:rsidDel="00000000" w:rsidR="00000000" w:rsidRPr="00000000">
        <w:rPr>
          <w:rtl w:val="0"/>
        </w:rPr>
      </w:r>
    </w:p>
    <w:p w:rsidR="00000000" w:rsidDel="00000000" w:rsidP="00000000" w:rsidRDefault="00000000" w:rsidRPr="00000000" w14:paraId="000000AB">
      <w:pPr>
        <w:rPr>
          <w:b w:val="1"/>
        </w:rPr>
      </w:pPr>
      <w:r w:rsidDel="00000000" w:rsidR="00000000" w:rsidRPr="00000000">
        <w:rPr>
          <w:rtl w:val="0"/>
        </w:rPr>
      </w:r>
    </w:p>
    <w:p w:rsidR="00000000" w:rsidDel="00000000" w:rsidP="00000000" w:rsidRDefault="00000000" w:rsidRPr="00000000" w14:paraId="000000AC">
      <w:pPr>
        <w:rPr>
          <w:b w:val="1"/>
        </w:rPr>
      </w:pPr>
      <w:r w:rsidDel="00000000" w:rsidR="00000000" w:rsidRPr="00000000">
        <w:rPr>
          <w:rtl w:val="0"/>
        </w:rPr>
      </w:r>
    </w:p>
    <w:p w:rsidR="00000000" w:rsidDel="00000000" w:rsidP="00000000" w:rsidRDefault="00000000" w:rsidRPr="00000000" w14:paraId="000000AD">
      <w:pPr>
        <w:rPr>
          <w:b w:val="1"/>
        </w:rPr>
      </w:pPr>
      <w:r w:rsidDel="00000000" w:rsidR="00000000" w:rsidRPr="00000000">
        <w:rPr>
          <w:rtl w:val="0"/>
        </w:rPr>
      </w:r>
    </w:p>
    <w:p w:rsidR="00000000" w:rsidDel="00000000" w:rsidP="00000000" w:rsidRDefault="00000000" w:rsidRPr="00000000" w14:paraId="000000AE">
      <w:pPr>
        <w:rPr>
          <w:b w:val="1"/>
        </w:rPr>
      </w:pPr>
      <w:r w:rsidDel="00000000" w:rsidR="00000000" w:rsidRPr="00000000">
        <w:rPr>
          <w:rtl w:val="0"/>
        </w:rPr>
      </w:r>
    </w:p>
    <w:p w:rsidR="00000000" w:rsidDel="00000000" w:rsidP="00000000" w:rsidRDefault="00000000" w:rsidRPr="00000000" w14:paraId="000000AF">
      <w:pPr>
        <w:rPr>
          <w:b w:val="1"/>
        </w:rPr>
      </w:pPr>
      <w:r w:rsidDel="00000000" w:rsidR="00000000" w:rsidRPr="00000000">
        <w:rPr>
          <w:rtl w:val="0"/>
        </w:rPr>
      </w:r>
    </w:p>
    <w:p w:rsidR="00000000" w:rsidDel="00000000" w:rsidP="00000000" w:rsidRDefault="00000000" w:rsidRPr="00000000" w14:paraId="000000B0">
      <w:pPr>
        <w:jc w:val="center"/>
        <w:rPr>
          <w:b w:val="1"/>
        </w:rPr>
      </w:pPr>
      <w:r w:rsidDel="00000000" w:rsidR="00000000" w:rsidRPr="00000000">
        <w:rPr>
          <w:b w:val="1"/>
          <w:rtl w:val="0"/>
        </w:rPr>
        <w:t xml:space="preserve">(a)</w:t>
      </w:r>
      <w:r w:rsidDel="00000000" w:rsidR="00000000" w:rsidRPr="00000000">
        <w:rPr>
          <w:b w:val="1"/>
          <w:sz w:val="24"/>
          <w:szCs w:val="24"/>
        </w:rPr>
        <w:drawing>
          <wp:inline distB="0" distT="0" distL="0" distR="0">
            <wp:extent cx="2028159" cy="3607200"/>
            <wp:effectExtent b="0" l="0" r="0" t="0"/>
            <wp:docPr id="195" name="image11.jpg"/>
            <a:graphic>
              <a:graphicData uri="http://schemas.openxmlformats.org/drawingml/2006/picture">
                <pic:pic>
                  <pic:nvPicPr>
                    <pic:cNvPr id="0" name="image11.jpg"/>
                    <pic:cNvPicPr preferRelativeResize="0"/>
                  </pic:nvPicPr>
                  <pic:blipFill>
                    <a:blip r:embed="rId26"/>
                    <a:srcRect b="0" l="0" r="0" t="0"/>
                    <a:stretch>
                      <a:fillRect/>
                    </a:stretch>
                  </pic:blipFill>
                  <pic:spPr>
                    <a:xfrm>
                      <a:off x="0" y="0"/>
                      <a:ext cx="2028159" cy="3607200"/>
                    </a:xfrm>
                    <a:prstGeom prst="rect"/>
                    <a:ln/>
                  </pic:spPr>
                </pic:pic>
              </a:graphicData>
            </a:graphic>
          </wp:inline>
        </w:drawing>
      </w:r>
      <w:r w:rsidDel="00000000" w:rsidR="00000000" w:rsidRPr="00000000">
        <w:rPr>
          <w:b w:val="1"/>
          <w:sz w:val="24"/>
          <w:szCs w:val="24"/>
          <w:rtl w:val="0"/>
        </w:rPr>
        <w:t xml:space="preserve">  </w:t>
      </w:r>
      <w:r w:rsidDel="00000000" w:rsidR="00000000" w:rsidRPr="00000000">
        <w:rPr>
          <w:b w:val="1"/>
          <w:rtl w:val="0"/>
        </w:rPr>
        <w:t xml:space="preserve"> (b) </w:t>
      </w:r>
      <w:r w:rsidDel="00000000" w:rsidR="00000000" w:rsidRPr="00000000">
        <w:rPr>
          <w:b w:val="1"/>
        </w:rPr>
        <w:drawing>
          <wp:inline distB="0" distT="0" distL="0" distR="0">
            <wp:extent cx="2355502" cy="3607200"/>
            <wp:effectExtent b="0" l="0" r="0" t="0"/>
            <wp:docPr id="198" name="image9.jpg"/>
            <a:graphic>
              <a:graphicData uri="http://schemas.openxmlformats.org/drawingml/2006/picture">
                <pic:pic>
                  <pic:nvPicPr>
                    <pic:cNvPr id="0" name="image9.jpg"/>
                    <pic:cNvPicPr preferRelativeResize="0"/>
                  </pic:nvPicPr>
                  <pic:blipFill>
                    <a:blip r:embed="rId27"/>
                    <a:srcRect b="0" l="0" r="0" t="0"/>
                    <a:stretch>
                      <a:fillRect/>
                    </a:stretch>
                  </pic:blipFill>
                  <pic:spPr>
                    <a:xfrm>
                      <a:off x="0" y="0"/>
                      <a:ext cx="2355502" cy="3607200"/>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jc w:val="center"/>
        <w:rPr>
          <w:b w:val="1"/>
          <w:sz w:val="24"/>
          <w:szCs w:val="24"/>
        </w:rPr>
      </w:pPr>
      <w:r w:rsidDel="00000000" w:rsidR="00000000" w:rsidRPr="00000000">
        <w:rPr>
          <w:b w:val="1"/>
          <w:rtl w:val="0"/>
        </w:rPr>
        <w:t xml:space="preserve">(c)</w:t>
      </w:r>
      <w:r w:rsidDel="00000000" w:rsidR="00000000" w:rsidRPr="00000000">
        <w:rPr>
          <w:b w:val="1"/>
          <w:sz w:val="24"/>
          <w:szCs w:val="24"/>
          <w:rtl w:val="0"/>
        </w:rPr>
        <w:t xml:space="preserve"> </w:t>
      </w:r>
      <w:r w:rsidDel="00000000" w:rsidR="00000000" w:rsidRPr="00000000">
        <w:rPr>
          <w:b w:val="1"/>
          <w:sz w:val="24"/>
          <w:szCs w:val="24"/>
        </w:rPr>
        <w:drawing>
          <wp:inline distB="0" distT="0" distL="0" distR="0">
            <wp:extent cx="2305050" cy="3495675"/>
            <wp:effectExtent b="0" l="0" r="0" t="0"/>
            <wp:docPr id="197" name="image3.jpg"/>
            <a:graphic>
              <a:graphicData uri="http://schemas.openxmlformats.org/drawingml/2006/picture">
                <pic:pic>
                  <pic:nvPicPr>
                    <pic:cNvPr id="0" name="image3.jpg"/>
                    <pic:cNvPicPr preferRelativeResize="0"/>
                  </pic:nvPicPr>
                  <pic:blipFill>
                    <a:blip r:embed="rId28"/>
                    <a:srcRect b="0" l="0" r="0" t="0"/>
                    <a:stretch>
                      <a:fillRect/>
                    </a:stretch>
                  </pic:blipFill>
                  <pic:spPr>
                    <a:xfrm>
                      <a:off x="0" y="0"/>
                      <a:ext cx="2305050" cy="3495675"/>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jc w:val="both"/>
        <w:rPr>
          <w:sz w:val="20"/>
          <w:szCs w:val="20"/>
        </w:rPr>
      </w:pPr>
      <w:r w:rsidDel="00000000" w:rsidR="00000000" w:rsidRPr="00000000">
        <w:rPr>
          <w:b w:val="1"/>
          <w:sz w:val="20"/>
          <w:szCs w:val="20"/>
          <w:rtl w:val="0"/>
        </w:rPr>
        <w:t xml:space="preserve">Figura 6: </w:t>
      </w:r>
      <w:r w:rsidDel="00000000" w:rsidR="00000000" w:rsidRPr="00000000">
        <w:rPr>
          <w:sz w:val="20"/>
          <w:szCs w:val="20"/>
          <w:rtl w:val="0"/>
        </w:rPr>
        <w:t xml:space="preserve">Plantas de maíz infectadas con </w:t>
      </w:r>
      <w:r w:rsidDel="00000000" w:rsidR="00000000" w:rsidRPr="00000000">
        <w:rPr>
          <w:i w:val="1"/>
          <w:sz w:val="20"/>
          <w:szCs w:val="20"/>
          <w:rtl w:val="0"/>
        </w:rPr>
        <w:t xml:space="preserve">Pantoea stewartii</w:t>
      </w:r>
      <w:r w:rsidDel="00000000" w:rsidR="00000000" w:rsidRPr="00000000">
        <w:rPr>
          <w:sz w:val="20"/>
          <w:szCs w:val="20"/>
          <w:rtl w:val="0"/>
        </w:rPr>
        <w:t xml:space="preserve"> subsp. </w:t>
      </w:r>
      <w:r w:rsidDel="00000000" w:rsidR="00000000" w:rsidRPr="00000000">
        <w:rPr>
          <w:i w:val="1"/>
          <w:sz w:val="20"/>
          <w:szCs w:val="20"/>
          <w:rtl w:val="0"/>
        </w:rPr>
        <w:t xml:space="preserve">stewartii </w:t>
      </w:r>
      <w:r w:rsidDel="00000000" w:rsidR="00000000" w:rsidRPr="00000000">
        <w:rPr>
          <w:sz w:val="20"/>
          <w:szCs w:val="20"/>
          <w:rtl w:val="0"/>
        </w:rPr>
        <w:t xml:space="preserve">presentando acortamiento de entrenudos, en etapa inicial de cultivo con manchas acuosas (a), cloróticas (b) y en estadío más avanzado con manchas necróticas (c) (EPPO, 2020).</w:t>
      </w:r>
    </w:p>
    <w:p w:rsidR="00000000" w:rsidDel="00000000" w:rsidP="00000000" w:rsidRDefault="00000000" w:rsidRPr="00000000" w14:paraId="000000B3">
      <w:pPr>
        <w:rPr>
          <w:b w:val="1"/>
          <w:sz w:val="24"/>
          <w:szCs w:val="24"/>
        </w:rPr>
      </w:pPr>
      <w:r w:rsidDel="00000000" w:rsidR="00000000" w:rsidRPr="00000000">
        <w:rPr>
          <w:rtl w:val="0"/>
        </w:rPr>
      </w:r>
    </w:p>
    <w:p w:rsidR="00000000" w:rsidDel="00000000" w:rsidP="00000000" w:rsidRDefault="00000000" w:rsidRPr="00000000" w14:paraId="000000B4">
      <w:pPr>
        <w:rPr/>
      </w:pPr>
      <w:r w:rsidDel="00000000" w:rsidR="00000000" w:rsidRPr="00000000">
        <w:rPr/>
        <w:drawing>
          <wp:inline distB="0" distT="0" distL="0" distR="0">
            <wp:extent cx="2401228" cy="3561066"/>
            <wp:effectExtent b="0" l="0" r="0" t="0"/>
            <wp:docPr id="200" name="image7.jpg"/>
            <a:graphic>
              <a:graphicData uri="http://schemas.openxmlformats.org/drawingml/2006/picture">
                <pic:pic>
                  <pic:nvPicPr>
                    <pic:cNvPr id="0" name="image7.jpg"/>
                    <pic:cNvPicPr preferRelativeResize="0"/>
                  </pic:nvPicPr>
                  <pic:blipFill>
                    <a:blip r:embed="rId29"/>
                    <a:srcRect b="0" l="0" r="0" t="0"/>
                    <a:stretch>
                      <a:fillRect/>
                    </a:stretch>
                  </pic:blipFill>
                  <pic:spPr>
                    <a:xfrm>
                      <a:off x="0" y="0"/>
                      <a:ext cx="2401228" cy="3561066"/>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609187" cy="3578572"/>
            <wp:effectExtent b="0" l="0" r="0" t="0"/>
            <wp:docPr id="199" name="image6.jpg"/>
            <a:graphic>
              <a:graphicData uri="http://schemas.openxmlformats.org/drawingml/2006/picture">
                <pic:pic>
                  <pic:nvPicPr>
                    <pic:cNvPr id="0" name="image6.jpg"/>
                    <pic:cNvPicPr preferRelativeResize="0"/>
                  </pic:nvPicPr>
                  <pic:blipFill>
                    <a:blip r:embed="rId30"/>
                    <a:srcRect b="0" l="0" r="0" t="0"/>
                    <a:stretch>
                      <a:fillRect/>
                    </a:stretch>
                  </pic:blipFill>
                  <pic:spPr>
                    <a:xfrm>
                      <a:off x="0" y="0"/>
                      <a:ext cx="2609187" cy="3578572"/>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rPr>
          <w:sz w:val="20"/>
          <w:szCs w:val="20"/>
        </w:rPr>
      </w:pPr>
      <w:r w:rsidDel="00000000" w:rsidR="00000000" w:rsidRPr="00000000">
        <w:rPr>
          <w:b w:val="1"/>
          <w:sz w:val="20"/>
          <w:szCs w:val="20"/>
          <w:rtl w:val="0"/>
        </w:rPr>
        <w:t xml:space="preserve">Figura 7:</w:t>
      </w:r>
      <w:r w:rsidDel="00000000" w:rsidR="00000000" w:rsidRPr="00000000">
        <w:rPr>
          <w:sz w:val="20"/>
          <w:szCs w:val="20"/>
          <w:rtl w:val="0"/>
        </w:rPr>
        <w:t xml:space="preserve"> Planta de maíz exhibiendo síntomas de </w:t>
      </w:r>
      <w:r w:rsidDel="00000000" w:rsidR="00000000" w:rsidRPr="00000000">
        <w:rPr>
          <w:i w:val="1"/>
          <w:sz w:val="20"/>
          <w:szCs w:val="20"/>
          <w:rtl w:val="0"/>
        </w:rPr>
        <w:t xml:space="preserve">Pantoea stewartii</w:t>
      </w:r>
      <w:r w:rsidDel="00000000" w:rsidR="00000000" w:rsidRPr="00000000">
        <w:rPr>
          <w:sz w:val="20"/>
          <w:szCs w:val="20"/>
          <w:rtl w:val="0"/>
        </w:rPr>
        <w:t xml:space="preserve"> subsp. </w:t>
      </w:r>
      <w:r w:rsidDel="00000000" w:rsidR="00000000" w:rsidRPr="00000000">
        <w:rPr>
          <w:i w:val="1"/>
          <w:sz w:val="20"/>
          <w:szCs w:val="20"/>
          <w:rtl w:val="0"/>
        </w:rPr>
        <w:t xml:space="preserve">stewartii </w:t>
      </w:r>
      <w:r w:rsidDel="00000000" w:rsidR="00000000" w:rsidRPr="00000000">
        <w:rPr>
          <w:sz w:val="20"/>
          <w:szCs w:val="20"/>
          <w:rtl w:val="0"/>
        </w:rPr>
        <w:t xml:space="preserve">en hoja (EPPO, 2020).</w:t>
      </w:r>
    </w:p>
    <w:p w:rsidR="00000000" w:rsidDel="00000000" w:rsidP="00000000" w:rsidRDefault="00000000" w:rsidRPr="00000000" w14:paraId="000000B6">
      <w:pPr>
        <w:rPr/>
      </w:pPr>
      <w:r w:rsidDel="00000000" w:rsidR="00000000" w:rsidRPr="00000000">
        <w:rPr>
          <w:rtl w:val="0"/>
        </w:rPr>
      </w:r>
    </w:p>
    <w:sectPr>
      <w:headerReference r:id="rId31" w:type="default"/>
      <w:headerReference r:id="rId32" w:type="first"/>
      <w:headerReference r:id="rId33" w:type="even"/>
      <w:footerReference r:id="rId34" w:type="default"/>
      <w:pgSz w:h="16820" w:w="11900" w:orient="portrait"/>
      <w:pgMar w:bottom="1536" w:top="1984.251968503937" w:left="1710" w:right="183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A">
    <w:pPr>
      <w:spacing w:line="240" w:lineRule="auto"/>
      <w:jc w:val="right"/>
      <w:rPr>
        <w:color w:val="000000"/>
      </w:rPr>
    </w:pPr>
    <w:r w:rsidDel="00000000" w:rsidR="00000000" w:rsidRPr="00000000">
      <w:rPr>
        <w:color w:val="7f7f7f"/>
        <w:sz w:val="18"/>
        <w:szCs w:val="18"/>
        <w:rtl w:val="0"/>
      </w:rPr>
      <w:t xml:space="preserve">Anexo </w:t>
    </w:r>
    <w:r w:rsidDel="00000000" w:rsidR="00000000" w:rsidRPr="00000000">
      <w:rPr>
        <w:i w:val="1"/>
        <w:color w:val="7f7f7f"/>
        <w:sz w:val="18"/>
        <w:szCs w:val="18"/>
        <w:rtl w:val="0"/>
      </w:rPr>
      <w:t xml:space="preserve">Pantoea stewartii</w:t>
    </w:r>
    <w:r w:rsidDel="00000000" w:rsidR="00000000" w:rsidRPr="00000000">
      <w:rPr>
        <w:color w:val="7f7f7f"/>
        <w:sz w:val="18"/>
        <w:szCs w:val="18"/>
        <w:rtl w:val="0"/>
      </w:rPr>
      <w:t xml:space="preserve"> subsp. </w:t>
    </w:r>
    <w:r w:rsidDel="00000000" w:rsidR="00000000" w:rsidRPr="00000000">
      <w:rPr>
        <w:i w:val="1"/>
        <w:color w:val="7f7f7f"/>
        <w:sz w:val="18"/>
        <w:szCs w:val="18"/>
        <w:rtl w:val="0"/>
      </w:rPr>
      <w:t xml:space="preserve">stewartii</w:t>
    </w:r>
    <w:r w:rsidDel="00000000" w:rsidR="00000000" w:rsidRPr="00000000">
      <w:rPr>
        <w:color w:val="7f7f7f"/>
        <w:sz w:val="18"/>
        <w:szCs w:val="18"/>
        <w:rtl w:val="0"/>
      </w:rPr>
      <w:t xml:space="preserve">• Plan Piloto Regional para la certificación fitosanitaria de semilla de </w:t>
    </w:r>
    <w:r w:rsidDel="00000000" w:rsidR="00000000" w:rsidRPr="00000000">
      <w:rPr>
        <w:i w:val="1"/>
        <w:color w:val="7f7f7f"/>
        <w:sz w:val="18"/>
        <w:szCs w:val="18"/>
        <w:rtl w:val="0"/>
      </w:rPr>
      <w:t xml:space="preserve">Zea Mays</w:t>
    </w:r>
    <w:r w:rsidDel="00000000" w:rsidR="00000000" w:rsidRPr="00000000">
      <w:rPr>
        <w:color w:val="7f7f7f"/>
        <w:sz w:val="18"/>
        <w:szCs w:val="18"/>
        <w:rtl w:val="0"/>
      </w:rPr>
      <w:t xml:space="preserve"> con uso previsto propagación y propósito experimentación bajo un enfoque de sistemas • COSAVE - página </w:t>
    </w:r>
    <w:r w:rsidDel="00000000" w:rsidR="00000000" w:rsidRPr="00000000">
      <w:rPr>
        <w:color w:val="7f7f7f"/>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color w:val="000000"/>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-917411</wp:posOffset>
          </wp:positionH>
          <wp:positionV relativeFrom="paragraph">
            <wp:posOffset>114300</wp:posOffset>
          </wp:positionV>
          <wp:extent cx="7143750" cy="1009650"/>
          <wp:effectExtent b="0" l="0" r="0" t="0"/>
          <wp:wrapNone/>
          <wp:docPr id="201" name="image5.png"/>
          <a:graphic>
            <a:graphicData uri="http://schemas.openxmlformats.org/drawingml/2006/picture">
              <pic:pic>
                <pic:nvPicPr>
                  <pic:cNvPr id="0" name="image5.png"/>
                  <pic:cNvPicPr preferRelativeResize="0"/>
                </pic:nvPicPr>
                <pic:blipFill>
                  <a:blip r:embed="rId1"/>
                  <a:srcRect b="0" l="3588" r="3588" t="14516"/>
                  <a:stretch>
                    <a:fillRect/>
                  </a:stretch>
                </pic:blipFill>
                <pic:spPr>
                  <a:xfrm>
                    <a:off x="0" y="0"/>
                    <a:ext cx="7143750" cy="10096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9">
    <w:pPr>
      <w:pBdr>
        <w:top w:space="0" w:sz="0" w:val="nil"/>
        <w:left w:space="0" w:sz="0" w:val="nil"/>
        <w:bottom w:space="0" w:sz="0" w:val="nil"/>
        <w:right w:space="0" w:sz="0" w:val="nil"/>
        <w:between w:space="0" w:sz="0" w:val="nil"/>
      </w:pBdr>
      <w:tabs>
        <w:tab w:val="center" w:leader="none" w:pos="4252"/>
        <w:tab w:val="right" w:leader="none" w:pos="8504"/>
      </w:tabs>
      <w:spacing w:line="240" w:lineRule="auto"/>
      <w:rPr>
        <w:color w:val="000000"/>
      </w:rPr>
    </w:pPr>
    <w:r w:rsidDel="00000000" w:rsidR="00000000" w:rsidRPr="00000000">
      <w:rPr>
        <w:color w:val="000000"/>
      </w:rPr>
      <w:pict>
        <v:shape id="PowerPlusWaterMarkObject1" style="position:absolute;width:490.8pt;height:98.15pt;rotation:315;z-index:-503316481;mso-position-horizontal-relative:margin;mso-position-horizontal:center;mso-position-vertical-relative:margin;mso-position-vertical:center;" fillcolor="#c0c0c0" stroked="f" type="#_x0000_t136">
          <v:fill angle="0" opacity="32768f"/>
          <v:textpath fitshape="t" string="BORRADOR" style="font-family:&amp;quot;&quot;&amp;quot&quot;&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Prrafodelista">
    <w:name w:val="List Paragraph"/>
    <w:basedOn w:val="Normal"/>
    <w:uiPriority w:val="34"/>
    <w:qFormat w:val="1"/>
    <w:rsid w:val="001201BD"/>
    <w:pPr>
      <w:spacing w:after="160" w:line="259" w:lineRule="auto"/>
      <w:ind w:left="720"/>
      <w:contextualSpacing w:val="1"/>
    </w:pPr>
    <w:rPr>
      <w:rFonts w:asciiTheme="minorHAnsi" w:cstheme="minorBidi" w:eastAsiaTheme="minorHAnsi" w:hAnsiTheme="minorHAnsi"/>
      <w:lang w:eastAsia="en-US" w:val="es-PY"/>
    </w:rPr>
  </w:style>
  <w:style w:type="character" w:styleId="Hipervnculo">
    <w:name w:val="Hyperlink"/>
    <w:basedOn w:val="Fuentedeprrafopredeter"/>
    <w:uiPriority w:val="99"/>
    <w:unhideWhenUsed w:val="1"/>
    <w:rsid w:val="001201BD"/>
    <w:rPr>
      <w:color w:val="0000ff" w:themeColor="hyperlink"/>
      <w:u w:val="single"/>
    </w:rPr>
  </w:style>
  <w:style w:type="paragraph" w:styleId="NormalWeb">
    <w:name w:val="Normal (Web)"/>
    <w:basedOn w:val="Normal"/>
    <w:uiPriority w:val="99"/>
    <w:semiHidden w:val="1"/>
    <w:unhideWhenUsed w:val="1"/>
    <w:rsid w:val="001201BD"/>
    <w:pPr>
      <w:spacing w:after="100" w:afterAutospacing="1" w:before="100" w:beforeAutospacing="1" w:line="240" w:lineRule="auto"/>
    </w:pPr>
    <w:rPr>
      <w:rFonts w:ascii="Times New Roman" w:cs="Times New Roman" w:eastAsia="Times New Roman" w:hAnsi="Times New Roman"/>
      <w:sz w:val="24"/>
      <w:szCs w:val="24"/>
      <w:lang w:eastAsia="es-PY" w:val="es-PY"/>
    </w:rPr>
  </w:style>
  <w:style w:type="character" w:styleId="Textoennegrita">
    <w:name w:val="Strong"/>
    <w:basedOn w:val="Fuentedeprrafopredeter"/>
    <w:uiPriority w:val="22"/>
    <w:qFormat w:val="1"/>
    <w:rsid w:val="001201BD"/>
    <w:rPr>
      <w:b w:val="1"/>
      <w:bCs w:val="1"/>
    </w:rPr>
  </w:style>
  <w:style w:type="paragraph" w:styleId="Encabezado">
    <w:name w:val="header"/>
    <w:basedOn w:val="Normal"/>
    <w:link w:val="EncabezadoCar"/>
    <w:uiPriority w:val="99"/>
    <w:unhideWhenUsed w:val="1"/>
    <w:rsid w:val="00CD3534"/>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CD3534"/>
  </w:style>
  <w:style w:type="paragraph" w:styleId="Piedepgina">
    <w:name w:val="footer"/>
    <w:basedOn w:val="Normal"/>
    <w:link w:val="PiedepginaCar"/>
    <w:uiPriority w:val="99"/>
    <w:unhideWhenUsed w:val="1"/>
    <w:rsid w:val="00CD3534"/>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CD3534"/>
  </w:style>
  <w:style w:type="character" w:styleId="Refdecomentario">
    <w:name w:val="annotation reference"/>
    <w:basedOn w:val="Fuentedeprrafopredeter"/>
    <w:uiPriority w:val="99"/>
    <w:semiHidden w:val="1"/>
    <w:unhideWhenUsed w:val="1"/>
    <w:rsid w:val="009B1CB8"/>
    <w:rPr>
      <w:sz w:val="16"/>
      <w:szCs w:val="16"/>
    </w:rPr>
  </w:style>
  <w:style w:type="paragraph" w:styleId="Textocomentario">
    <w:name w:val="annotation text"/>
    <w:basedOn w:val="Normal"/>
    <w:link w:val="TextocomentarioCar"/>
    <w:uiPriority w:val="99"/>
    <w:unhideWhenUsed w:val="1"/>
    <w:rsid w:val="009B1CB8"/>
    <w:pPr>
      <w:spacing w:line="240" w:lineRule="auto"/>
    </w:pPr>
    <w:rPr>
      <w:sz w:val="20"/>
      <w:szCs w:val="20"/>
    </w:rPr>
  </w:style>
  <w:style w:type="character" w:styleId="TextocomentarioCar" w:customStyle="1">
    <w:name w:val="Texto comentario Car"/>
    <w:basedOn w:val="Fuentedeprrafopredeter"/>
    <w:link w:val="Textocomentario"/>
    <w:uiPriority w:val="99"/>
    <w:rsid w:val="009B1CB8"/>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9B1CB8"/>
    <w:rPr>
      <w:b w:val="1"/>
      <w:bCs w:val="1"/>
    </w:rPr>
  </w:style>
  <w:style w:type="character" w:styleId="AsuntodelcomentarioCar" w:customStyle="1">
    <w:name w:val="Asunto del comentario Car"/>
    <w:basedOn w:val="TextocomentarioCar"/>
    <w:link w:val="Asuntodelcomentario"/>
    <w:uiPriority w:val="99"/>
    <w:semiHidden w:val="1"/>
    <w:rsid w:val="009B1CB8"/>
    <w:rPr>
      <w:b w:val="1"/>
      <w:bCs w:val="1"/>
      <w:sz w:val="20"/>
      <w:szCs w:val="20"/>
    </w:rPr>
  </w:style>
  <w:style w:type="character" w:styleId="Mencinsinresolver1" w:customStyle="1">
    <w:name w:val="Mención sin resolver1"/>
    <w:basedOn w:val="Fuentedeprrafopredeter"/>
    <w:uiPriority w:val="99"/>
    <w:semiHidden w:val="1"/>
    <w:unhideWhenUsed w:val="1"/>
    <w:rsid w:val="00772494"/>
    <w:rPr>
      <w:color w:val="605e5c"/>
      <w:shd w:color="auto" w:fill="e1dfdd" w:val="clear"/>
    </w:rPr>
  </w:style>
  <w:style w:type="character" w:styleId="html-italic" w:customStyle="1">
    <w:name w:val="html-italic"/>
    <w:basedOn w:val="Fuentedeprrafopredeter"/>
    <w:rsid w:val="00C85FB3"/>
  </w:style>
  <w:style w:type="character" w:styleId="nfasis">
    <w:name w:val="Emphasis"/>
    <w:basedOn w:val="Fuentedeprrafopredeter"/>
    <w:uiPriority w:val="20"/>
    <w:qFormat w:val="1"/>
    <w:rsid w:val="00A5435C"/>
    <w:rPr>
      <w:i w:val="1"/>
      <w:iCs w:val="1"/>
    </w:rPr>
  </w:style>
  <w:style w:type="paragraph" w:styleId="Textodeglobo">
    <w:name w:val="Balloon Text"/>
    <w:basedOn w:val="Normal"/>
    <w:link w:val="TextodegloboCar"/>
    <w:uiPriority w:val="99"/>
    <w:semiHidden w:val="1"/>
    <w:unhideWhenUsed w:val="1"/>
    <w:rsid w:val="00381701"/>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81701"/>
    <w:rPr>
      <w:rFonts w:ascii="Segoe UI" w:cs="Segoe UI" w:hAnsi="Segoe UI"/>
      <w:sz w:val="18"/>
      <w:szCs w:val="18"/>
    </w:rPr>
  </w:style>
  <w:style w:type="character" w:styleId="topic-highlight" w:customStyle="1">
    <w:name w:val="topic-highlight"/>
    <w:basedOn w:val="Fuentedeprrafopredeter"/>
    <w:rsid w:val="00950EC9"/>
  </w:style>
  <w:style w:type="paragraph" w:styleId="TtulodeTDC">
    <w:name w:val="TOC Heading"/>
    <w:basedOn w:val="Ttulo1"/>
    <w:next w:val="Normal"/>
    <w:uiPriority w:val="39"/>
    <w:unhideWhenUsed w:val="1"/>
    <w:qFormat w:val="1"/>
    <w:rsid w:val="00E9102D"/>
    <w:pPr>
      <w:spacing w:after="0"/>
      <w:outlineLvl w:val="9"/>
    </w:pPr>
    <w:rPr>
      <w:rFonts w:asciiTheme="majorHAnsi" w:cstheme="majorBidi" w:eastAsiaTheme="majorEastAsia" w:hAnsiTheme="majorHAnsi"/>
      <w:bCs w:val="1"/>
      <w:color w:val="365f91" w:themeColor="accent1" w:themeShade="0000BF"/>
      <w:sz w:val="28"/>
      <w:szCs w:val="28"/>
      <w:lang w:val="es-AR"/>
    </w:rPr>
  </w:style>
  <w:style w:type="paragraph" w:styleId="TDC1">
    <w:name w:val="toc 1"/>
    <w:basedOn w:val="Normal"/>
    <w:next w:val="Normal"/>
    <w:autoRedefine w:val="1"/>
    <w:uiPriority w:val="39"/>
    <w:unhideWhenUsed w:val="1"/>
    <w:rsid w:val="00E9102D"/>
    <w:pPr>
      <w:tabs>
        <w:tab w:val="right" w:leader="dot" w:pos="8345"/>
      </w:tabs>
      <w:spacing w:after="100"/>
    </w:pPr>
    <w:rPr>
      <w:b w:val="1"/>
      <w:noProof w:val="1"/>
    </w:rPr>
  </w:style>
  <w:style w:type="paragraph" w:styleId="TDC2">
    <w:name w:val="toc 2"/>
    <w:basedOn w:val="Normal"/>
    <w:next w:val="Normal"/>
    <w:autoRedefine w:val="1"/>
    <w:uiPriority w:val="39"/>
    <w:unhideWhenUsed w:val="1"/>
    <w:rsid w:val="00E9102D"/>
    <w:pPr>
      <w:spacing w:after="100"/>
      <w:ind w:left="220"/>
    </w:pPr>
  </w:style>
  <w:style w:type="paragraph" w:styleId="TDC3">
    <w:name w:val="toc 3"/>
    <w:basedOn w:val="Normal"/>
    <w:next w:val="Normal"/>
    <w:autoRedefine w:val="1"/>
    <w:uiPriority w:val="39"/>
    <w:unhideWhenUsed w:val="1"/>
    <w:rsid w:val="00E9102D"/>
    <w:pPr>
      <w:spacing w:after="100"/>
      <w:ind w:left="440"/>
    </w:pPr>
  </w:style>
  <w:style w:type="table" w:styleId="a" w:customStyle="1">
    <w:basedOn w:val="TableNormal0"/>
    <w:tblPr>
      <w:tblStyleRowBandSize w:val="1"/>
      <w:tblStyleColBandSize w:val="1"/>
      <w:tblCellMar>
        <w:top w:w="0.0" w:type="dxa"/>
        <w:left w:w="115.0" w:type="dxa"/>
        <w:bottom w:w="0.0" w:type="dxa"/>
        <w:right w:w="115.0" w:type="dxa"/>
      </w:tblCellMar>
    </w:tblPr>
  </w:style>
  <w:style w:type="paragraph" w:styleId="Revisin">
    <w:name w:val="Revision"/>
    <w:hidden w:val="1"/>
    <w:uiPriority w:val="99"/>
    <w:semiHidden w:val="1"/>
    <w:rsid w:val="00C34A4D"/>
    <w:pPr>
      <w:spacing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extension.umn.edu/agriculture/crop-diseases/corn/holcusspot.html" TargetMode="External"/><Relationship Id="rId22" Type="http://schemas.openxmlformats.org/officeDocument/2006/relationships/image" Target="media/image8.png"/><Relationship Id="rId21" Type="http://schemas.openxmlformats.org/officeDocument/2006/relationships/image" Target="media/image4.png"/><Relationship Id="rId24" Type="http://schemas.openxmlformats.org/officeDocument/2006/relationships/image" Target="media/image13.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anproschile.cl/wp-content/uploads/2018/10/Erwinia-stewartii.pdf" TargetMode="External"/><Relationship Id="rId26" Type="http://schemas.openxmlformats.org/officeDocument/2006/relationships/image" Target="media/image11.jpg"/><Relationship Id="rId25" Type="http://schemas.openxmlformats.org/officeDocument/2006/relationships/image" Target="media/image10.png"/><Relationship Id="rId28" Type="http://schemas.openxmlformats.org/officeDocument/2006/relationships/image" Target="media/image3.jpg"/><Relationship Id="rId27" Type="http://schemas.openxmlformats.org/officeDocument/2006/relationships/image" Target="media/image9.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7.jpg"/><Relationship Id="rId7" Type="http://schemas.openxmlformats.org/officeDocument/2006/relationships/image" Target="media/image1.png"/><Relationship Id="rId8" Type="http://schemas.openxmlformats.org/officeDocument/2006/relationships/image" Target="media/image12.png"/><Relationship Id="rId31" Type="http://schemas.openxmlformats.org/officeDocument/2006/relationships/header" Target="header2.xml"/><Relationship Id="rId30" Type="http://schemas.openxmlformats.org/officeDocument/2006/relationships/image" Target="media/image6.jpg"/><Relationship Id="rId11" Type="http://schemas.openxmlformats.org/officeDocument/2006/relationships/hyperlink" Target="https://www.cabi.org/isc/datasheet/21939" TargetMode="External"/><Relationship Id="rId33" Type="http://schemas.openxmlformats.org/officeDocument/2006/relationships/header" Target="header3.xml"/><Relationship Id="rId10" Type="http://schemas.openxmlformats.org/officeDocument/2006/relationships/hyperlink" Target="http://www.anproschile.cl/wp-content/uploads/2018/10/Erwinia-stewartii.pdf" TargetMode="External"/><Relationship Id="rId32" Type="http://schemas.openxmlformats.org/officeDocument/2006/relationships/header" Target="header1.xml"/><Relationship Id="rId13" Type="http://schemas.openxmlformats.org/officeDocument/2006/relationships/hyperlink" Target="https://gd.eppo.int/taxon/ERWIST" TargetMode="External"/><Relationship Id="rId12" Type="http://schemas.openxmlformats.org/officeDocument/2006/relationships/hyperlink" Target="https://www.cabi.org/isc/datasheet/21939" TargetMode="External"/><Relationship Id="rId34" Type="http://schemas.openxmlformats.org/officeDocument/2006/relationships/footer" Target="footer1.xml"/><Relationship Id="rId15" Type="http://schemas.openxmlformats.org/officeDocument/2006/relationships/hyperlink" Target="https://inta.gob.ar/sites/default/files/inta_boletin_no1_lunar_blanco_formento_0.pdf" TargetMode="External"/><Relationship Id="rId14" Type="http://schemas.openxmlformats.org/officeDocument/2006/relationships/hyperlink" Target="https://gd.eppo.int/taxon/ERWIST" TargetMode="External"/><Relationship Id="rId17" Type="http://schemas.openxmlformats.org/officeDocument/2006/relationships/hyperlink" Target="https://www.sinavimo.gov.ar/plaga/chaetocnema-pulicaria" TargetMode="External"/><Relationship Id="rId16" Type="http://schemas.openxmlformats.org/officeDocument/2006/relationships/hyperlink" Target="https://inta.gob.ar/sites/default/files/inta_boletin_no1_lunar_blanco_formento_0.pdf" TargetMode="External"/><Relationship Id="rId19" Type="http://schemas.openxmlformats.org/officeDocument/2006/relationships/hyperlink" Target="https://www.extension.umn.edu/agriculture/crop-diseases/corn/holcusspot.html" TargetMode="External"/><Relationship Id="rId18" Type="http://schemas.openxmlformats.org/officeDocument/2006/relationships/hyperlink" Target="https://www.sinavimo.gov.ar/plaga/chaetocnema-pulicar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v7CvUmSFd5JhaxINKelmbOfQLA==">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2023-04-18T16:16:00Z</dcterms:created>
  <dc:creator>Presidencia</dc:creator>
</cp:coreProperties>
</file>