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ind w:left="2561" w:firstLine="0"/>
        <w:rPr>
          <w:color w:val="000000"/>
          <w:sz w:val="24"/>
          <w:szCs w:val="2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799" w:line="240" w:lineRule="auto"/>
        <w:jc w:val="center"/>
        <w:rPr>
          <w:i w:val="1"/>
          <w:color w:val="000000"/>
          <w:sz w:val="24"/>
          <w:szCs w:val="24"/>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799" w:line="240" w:lineRule="auto"/>
        <w:jc w:val="center"/>
        <w:rPr>
          <w:i w:val="1"/>
          <w:color w:val="000000"/>
          <w:sz w:val="32"/>
          <w:szCs w:val="32"/>
        </w:rPr>
      </w:pPr>
      <w:r w:rsidDel="00000000" w:rsidR="00000000" w:rsidRPr="00000000">
        <w:rPr/>
        <w:drawing>
          <wp:inline distB="0" distT="0" distL="0" distR="0">
            <wp:extent cx="2129558" cy="1927860"/>
            <wp:effectExtent b="0" l="0" r="0" t="0"/>
            <wp:docPr descr="C:\Users\Usuario\AppData\Local\Microsoft\Windows\INetCache\Content.Word\COSAVE - Logo.png" id="22" name="image1.png"/>
            <a:graphic>
              <a:graphicData uri="http://schemas.openxmlformats.org/drawingml/2006/picture">
                <pic:pic>
                  <pic:nvPicPr>
                    <pic:cNvPr descr="C:\Users\Usuario\AppData\Local\Microsoft\Windows\INetCache\Content.Word\COSAVE - Logo.png" id="0" name="image1.png"/>
                    <pic:cNvPicPr preferRelativeResize="0"/>
                  </pic:nvPicPr>
                  <pic:blipFill>
                    <a:blip r:embed="rId7"/>
                    <a:srcRect b="0" l="19" r="19" t="0"/>
                    <a:stretch>
                      <a:fillRect/>
                    </a:stretch>
                  </pic:blipFill>
                  <pic:spPr>
                    <a:xfrm>
                      <a:off x="0" y="0"/>
                      <a:ext cx="2129558" cy="192786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jc w:val="center"/>
        <w:rPr>
          <w:b w:val="1"/>
          <w:i w:val="1"/>
          <w:sz w:val="32"/>
          <w:szCs w:val="32"/>
        </w:rPr>
      </w:pPr>
      <w:r w:rsidDel="00000000" w:rsidR="00000000" w:rsidRPr="00000000">
        <w:rPr>
          <w:rtl w:val="0"/>
        </w:rPr>
      </w:r>
    </w:p>
    <w:p w:rsidR="00000000" w:rsidDel="00000000" w:rsidP="00000000" w:rsidRDefault="00000000" w:rsidRPr="00000000" w14:paraId="00000009">
      <w:pPr>
        <w:spacing w:line="240" w:lineRule="auto"/>
        <w:jc w:val="center"/>
        <w:rPr>
          <w:b w:val="1"/>
          <w:i w:val="1"/>
          <w:sz w:val="32"/>
          <w:szCs w:val="32"/>
        </w:rPr>
      </w:pPr>
      <w:r w:rsidDel="00000000" w:rsidR="00000000" w:rsidRPr="00000000">
        <w:rPr>
          <w:rtl w:val="0"/>
        </w:rPr>
      </w:r>
    </w:p>
    <w:p w:rsidR="00000000" w:rsidDel="00000000" w:rsidP="00000000" w:rsidRDefault="00000000" w:rsidRPr="00000000" w14:paraId="0000000A">
      <w:pPr>
        <w:spacing w:line="240" w:lineRule="auto"/>
        <w:jc w:val="center"/>
        <w:rPr>
          <w:b w:val="1"/>
          <w:i w:val="1"/>
          <w:sz w:val="32"/>
          <w:szCs w:val="32"/>
        </w:rPr>
      </w:pPr>
      <w:r w:rsidDel="00000000" w:rsidR="00000000" w:rsidRPr="00000000">
        <w:rPr>
          <w:rtl w:val="0"/>
        </w:rPr>
      </w:r>
    </w:p>
    <w:p w:rsidR="00000000" w:rsidDel="00000000" w:rsidP="00000000" w:rsidRDefault="00000000" w:rsidRPr="00000000" w14:paraId="0000000B">
      <w:pPr>
        <w:spacing w:line="240" w:lineRule="auto"/>
        <w:jc w:val="center"/>
        <w:rPr>
          <w:b w:val="1"/>
          <w:i w:val="1"/>
          <w:sz w:val="32"/>
          <w:szCs w:val="32"/>
        </w:rPr>
      </w:pPr>
      <w:r w:rsidDel="00000000" w:rsidR="00000000" w:rsidRPr="00000000">
        <w:rPr>
          <w:rtl w:val="0"/>
        </w:rPr>
      </w:r>
    </w:p>
    <w:p w:rsidR="00000000" w:rsidDel="00000000" w:rsidP="00000000" w:rsidRDefault="00000000" w:rsidRPr="00000000" w14:paraId="0000000C">
      <w:pPr>
        <w:spacing w:line="240" w:lineRule="auto"/>
        <w:jc w:val="center"/>
        <w:rPr>
          <w:b w:val="1"/>
          <w:i w:val="1"/>
          <w:color w:val="000000"/>
          <w:sz w:val="32"/>
          <w:szCs w:val="32"/>
        </w:rPr>
      </w:pPr>
      <w:r w:rsidDel="00000000" w:rsidR="00000000" w:rsidRPr="00000000">
        <w:rPr>
          <w:b w:val="1"/>
          <w:sz w:val="32"/>
          <w:szCs w:val="32"/>
          <w:rtl w:val="0"/>
        </w:rPr>
        <w:t xml:space="preserve">13. Anexo: Plagas reglamentadas</w:t>
      </w:r>
      <w:r w:rsidDel="00000000" w:rsidR="00000000" w:rsidRPr="00000000">
        <w:rPr>
          <w:rtl w:val="0"/>
        </w:rPr>
      </w:r>
    </w:p>
    <w:p w:rsidR="00000000" w:rsidDel="00000000" w:rsidP="00000000" w:rsidRDefault="00000000" w:rsidRPr="00000000" w14:paraId="0000000D">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E">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F">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0">
      <w:pPr>
        <w:spacing w:line="240" w:lineRule="auto"/>
        <w:jc w:val="center"/>
        <w:rPr>
          <w:b w:val="1"/>
          <w:i w:val="1"/>
          <w:color w:val="000000"/>
          <w:sz w:val="32"/>
          <w:szCs w:val="32"/>
        </w:rPr>
      </w:pPr>
      <w:r w:rsidDel="00000000" w:rsidR="00000000" w:rsidRPr="00000000">
        <w:rPr>
          <w:b w:val="1"/>
          <w:i w:val="1"/>
          <w:color w:val="000000"/>
          <w:sz w:val="32"/>
          <w:szCs w:val="32"/>
          <w:rtl w:val="0"/>
        </w:rPr>
        <w:t xml:space="preserve">Stenocarpella macrospora</w:t>
      </w:r>
    </w:p>
    <w:p w:rsidR="00000000" w:rsidDel="00000000" w:rsidP="00000000" w:rsidRDefault="00000000" w:rsidRPr="00000000" w14:paraId="00000011">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12">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13">
      <w:pPr>
        <w:spacing w:line="240" w:lineRule="auto"/>
        <w:jc w:val="center"/>
        <w:rPr>
          <w:color w:val="000000"/>
          <w:sz w:val="28"/>
          <w:szCs w:val="28"/>
        </w:rPr>
      </w:pPr>
      <w:r w:rsidDel="00000000" w:rsidR="00000000" w:rsidRPr="00000000">
        <w:rPr>
          <w:b w:val="1"/>
          <w:sz w:val="28"/>
          <w:szCs w:val="28"/>
          <w:rtl w:val="0"/>
        </w:rPr>
        <w:t xml:space="preserve">Julio 2023</w:t>
      </w: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b w:val="1"/>
          <w:sz w:val="24"/>
          <w:szCs w:val="24"/>
          <w:rtl w:val="0"/>
        </w:rPr>
        <w:t xml:space="preserve">Tabla de contenido</w:t>
      </w:r>
    </w:p>
    <w:p w:rsidR="00000000" w:rsidDel="00000000" w:rsidP="00000000" w:rsidRDefault="00000000" w:rsidRPr="00000000" w14:paraId="00000019">
      <w:pP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kp9fazq40v3a">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Descripción técnica de la plaga</w:t>
              <w:tab/>
              <w:t xml:space="preserve">3</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Denominación de la enfermedad</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Agente etiológico</w:t>
              <w:tab/>
              <w:t xml:space="preserve">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5p0ey173d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Hospedantes / Especies afectadas</w:t>
              <w:tab/>
              <w:t xml:space="preserve">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bn2q722zmfn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Ciclo de la enfermedad</w:t>
              <w:tab/>
              <w:t xml:space="preserve">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yk9ktw8xjo5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 Transmisión y supervivencia</w:t>
              <w:tab/>
              <w:t xml:space="preserve">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e27dsdyuv97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 Incidencia</w:t>
              <w:tab/>
              <w:t xml:space="preserve">4</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v5l27id05n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 Síntomas asociados a los distintos órganos y estadios fenológicos</w:t>
              <w:tab/>
              <w:t xml:space="preserve">5</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irwhxb3jn17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 Comportamiento y distribución en los lotes</w:t>
              <w:tab/>
              <w:t xml:space="preserve">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2ymvudszdt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1.3.5 Similitudes con otros patógenos</w:t>
              <w:tab/>
              <w:t xml:space="preserve">6</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Bibliografía</w:t>
              <w:tab/>
              <w:t xml:space="preserve">6</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gknroxn9alg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Anexo: Figuras</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7">
      <w:pPr>
        <w:widowControl w:val="0"/>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B">
      <w:pPr>
        <w:rPr>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48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kp9fazq40v3a" w:id="0"/>
      <w:bookmarkEnd w:id="0"/>
      <w:r w:rsidDel="00000000" w:rsidR="00000000" w:rsidRPr="00000000">
        <w:rPr>
          <w:b w:val="1"/>
          <w:sz w:val="28"/>
          <w:szCs w:val="28"/>
          <w:rtl w:val="0"/>
        </w:rPr>
        <w:t xml:space="preserve">1</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Descripción técnica de la plaga</w:t>
      </w:r>
    </w:p>
    <w:p w:rsidR="00000000" w:rsidDel="00000000" w:rsidP="00000000" w:rsidRDefault="00000000" w:rsidRPr="00000000" w14:paraId="0000002D">
      <w:pPr>
        <w:pStyle w:val="Heading2"/>
        <w:keepNext w:val="1"/>
        <w:keepLines w:val="1"/>
        <w:spacing w:after="200" w:before="360" w:line="240" w:lineRule="auto"/>
        <w:rPr>
          <w:sz w:val="24"/>
          <w:szCs w:val="24"/>
          <w:vertAlign w:val="baseline"/>
        </w:rPr>
      </w:pPr>
      <w:bookmarkStart w:colFirst="0" w:colLast="0" w:name="_heading=h.1fob9te" w:id="1"/>
      <w:bookmarkEnd w:id="1"/>
      <w:r w:rsidDel="00000000" w:rsidR="00000000" w:rsidRPr="00000000">
        <w:rPr>
          <w:sz w:val="24"/>
          <w:szCs w:val="24"/>
          <w:vertAlign w:val="baseline"/>
          <w:rtl w:val="0"/>
        </w:rPr>
        <w:t xml:space="preserve">1.1 Denominación de la enfermedad</w:t>
      </w:r>
    </w:p>
    <w:p w:rsidR="00000000" w:rsidDel="00000000" w:rsidP="00000000" w:rsidRDefault="00000000" w:rsidRPr="00000000" w14:paraId="0000002E">
      <w:pPr>
        <w:rPr>
          <w:vertAlign w:val="baseline"/>
        </w:rPr>
      </w:pPr>
      <w:r w:rsidDel="00000000" w:rsidR="00000000" w:rsidRPr="00000000">
        <w:rPr>
          <w:rtl w:val="0"/>
        </w:rPr>
      </w:r>
    </w:p>
    <w:p w:rsidR="00000000" w:rsidDel="00000000" w:rsidP="00000000" w:rsidRDefault="00000000" w:rsidRPr="00000000" w14:paraId="0000002F">
      <w:pPr>
        <w:spacing w:after="200" w:line="240" w:lineRule="auto"/>
        <w:jc w:val="both"/>
        <w:rPr>
          <w:sz w:val="24"/>
          <w:szCs w:val="24"/>
        </w:rPr>
      </w:pPr>
      <w:r w:rsidDel="00000000" w:rsidR="00000000" w:rsidRPr="00000000">
        <w:rPr>
          <w:b w:val="1"/>
          <w:sz w:val="24"/>
          <w:szCs w:val="24"/>
          <w:rtl w:val="0"/>
        </w:rPr>
        <w:t xml:space="preserve">Español:</w:t>
      </w:r>
      <w:r w:rsidDel="00000000" w:rsidR="00000000" w:rsidRPr="00000000">
        <w:rPr>
          <w:sz w:val="24"/>
          <w:szCs w:val="24"/>
          <w:rtl w:val="0"/>
        </w:rPr>
        <w:t xml:space="preserve"> Podredumbre seca del maíz</w:t>
      </w:r>
    </w:p>
    <w:p w:rsidR="00000000" w:rsidDel="00000000" w:rsidP="00000000" w:rsidRDefault="00000000" w:rsidRPr="00000000" w14:paraId="00000030">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31">
      <w:pPr>
        <w:pStyle w:val="Heading3"/>
        <w:keepNext w:val="1"/>
        <w:keepLines w:val="1"/>
        <w:spacing w:after="200" w:before="280" w:line="240" w:lineRule="auto"/>
        <w:rPr>
          <w:sz w:val="24"/>
          <w:szCs w:val="24"/>
          <w:vertAlign w:val="baseline"/>
        </w:rPr>
      </w:pPr>
      <w:bookmarkStart w:colFirst="0" w:colLast="0" w:name="_heading=h.3znysh7" w:id="2"/>
      <w:bookmarkEnd w:id="2"/>
      <w:r w:rsidDel="00000000" w:rsidR="00000000" w:rsidRPr="00000000">
        <w:rPr>
          <w:sz w:val="24"/>
          <w:szCs w:val="24"/>
          <w:vertAlign w:val="baseline"/>
          <w:rtl w:val="0"/>
        </w:rPr>
        <w:t xml:space="preserve">1.1.1 Agente etiológico</w:t>
      </w:r>
    </w:p>
    <w:p w:rsidR="00000000" w:rsidDel="00000000" w:rsidP="00000000" w:rsidRDefault="00000000" w:rsidRPr="00000000" w14:paraId="00000032">
      <w:pPr>
        <w:rPr>
          <w:vertAlign w:val="baseline"/>
        </w:rPr>
      </w:pPr>
      <w:r w:rsidDel="00000000" w:rsidR="00000000" w:rsidRPr="00000000">
        <w:rPr>
          <w:rtl w:val="0"/>
        </w:rPr>
      </w:r>
    </w:p>
    <w:p w:rsidR="00000000" w:rsidDel="00000000" w:rsidP="00000000" w:rsidRDefault="00000000" w:rsidRPr="00000000" w14:paraId="00000033">
      <w:pPr>
        <w:spacing w:after="200" w:line="240" w:lineRule="auto"/>
        <w:jc w:val="both"/>
        <w:rPr>
          <w:i w:val="1"/>
          <w:sz w:val="24"/>
          <w:szCs w:val="24"/>
        </w:rPr>
      </w:pPr>
      <w:r w:rsidDel="00000000" w:rsidR="00000000" w:rsidRPr="00000000">
        <w:rPr>
          <w:b w:val="1"/>
          <w:sz w:val="24"/>
          <w:szCs w:val="24"/>
          <w:rtl w:val="0"/>
        </w:rPr>
        <w:t xml:space="preserve">Nombre preferido: </w:t>
      </w:r>
      <w:r w:rsidDel="00000000" w:rsidR="00000000" w:rsidRPr="00000000">
        <w:rPr>
          <w:i w:val="1"/>
          <w:sz w:val="24"/>
          <w:szCs w:val="24"/>
          <w:rtl w:val="0"/>
        </w:rPr>
        <w:t xml:space="preserve">Stenocarpella macrospora </w:t>
      </w:r>
      <w:r w:rsidDel="00000000" w:rsidR="00000000" w:rsidRPr="00000000">
        <w:rPr>
          <w:sz w:val="24"/>
          <w:szCs w:val="24"/>
          <w:rtl w:val="0"/>
        </w:rPr>
        <w:t xml:space="preserve">(Earle) Sutton</w:t>
      </w:r>
      <w:r w:rsidDel="00000000" w:rsidR="00000000" w:rsidRPr="00000000">
        <w:rPr>
          <w:rtl w:val="0"/>
        </w:rPr>
      </w:r>
    </w:p>
    <w:p w:rsidR="00000000" w:rsidDel="00000000" w:rsidP="00000000" w:rsidRDefault="00000000" w:rsidRPr="00000000" w14:paraId="00000034">
      <w:pPr>
        <w:widowControl w:val="0"/>
        <w:spacing w:after="0" w:before="0" w:line="240" w:lineRule="auto"/>
        <w:jc w:val="both"/>
        <w:rPr>
          <w:i w:val="1"/>
          <w:sz w:val="24"/>
          <w:szCs w:val="24"/>
        </w:rPr>
      </w:pPr>
      <w:r w:rsidDel="00000000" w:rsidR="00000000" w:rsidRPr="00000000">
        <w:rPr>
          <w:b w:val="1"/>
          <w:sz w:val="24"/>
          <w:szCs w:val="24"/>
          <w:rtl w:val="0"/>
        </w:rPr>
        <w:t xml:space="preserve">Sinonimia:</w:t>
      </w:r>
      <w:r w:rsidDel="00000000" w:rsidR="00000000" w:rsidRPr="00000000">
        <w:rPr>
          <w:sz w:val="24"/>
          <w:szCs w:val="24"/>
          <w:rtl w:val="0"/>
        </w:rPr>
        <w:t xml:space="preserve"> </w:t>
        <w:tab/>
      </w:r>
      <w:r w:rsidDel="00000000" w:rsidR="00000000" w:rsidRPr="00000000">
        <w:rPr>
          <w:i w:val="1"/>
          <w:sz w:val="24"/>
          <w:szCs w:val="24"/>
          <w:rtl w:val="0"/>
        </w:rPr>
        <w:t xml:space="preserve">Diplodia macrospora</w:t>
      </w:r>
    </w:p>
    <w:p w:rsidR="00000000" w:rsidDel="00000000" w:rsidP="00000000" w:rsidRDefault="00000000" w:rsidRPr="00000000" w14:paraId="00000035">
      <w:pPr>
        <w:widowControl w:val="0"/>
        <w:spacing w:after="0" w:before="0" w:line="240" w:lineRule="auto"/>
        <w:ind w:left="720" w:firstLine="720"/>
        <w:jc w:val="both"/>
        <w:rPr>
          <w:i w:val="1"/>
          <w:sz w:val="24"/>
          <w:szCs w:val="24"/>
        </w:rPr>
      </w:pPr>
      <w:r w:rsidDel="00000000" w:rsidR="00000000" w:rsidRPr="00000000">
        <w:rPr>
          <w:i w:val="1"/>
          <w:sz w:val="24"/>
          <w:szCs w:val="24"/>
          <w:rtl w:val="0"/>
        </w:rPr>
        <w:t xml:space="preserve">Macrodiplodia macrospora</w:t>
      </w:r>
    </w:p>
    <w:p w:rsidR="00000000" w:rsidDel="00000000" w:rsidP="00000000" w:rsidRDefault="00000000" w:rsidRPr="00000000" w14:paraId="00000036">
      <w:pPr>
        <w:widowControl w:val="0"/>
        <w:spacing w:after="0" w:before="0" w:line="240" w:lineRule="auto"/>
        <w:ind w:left="720" w:firstLine="720"/>
        <w:jc w:val="both"/>
        <w:rPr>
          <w:i w:val="1"/>
          <w:sz w:val="24"/>
          <w:szCs w:val="24"/>
        </w:rPr>
      </w:pPr>
      <w:r w:rsidDel="00000000" w:rsidR="00000000" w:rsidRPr="00000000">
        <w:rPr>
          <w:i w:val="1"/>
          <w:sz w:val="24"/>
          <w:szCs w:val="24"/>
          <w:rtl w:val="0"/>
        </w:rPr>
        <w:t xml:space="preserve">Macrodiplodia zeae var macrospora</w:t>
      </w:r>
    </w:p>
    <w:p w:rsidR="00000000" w:rsidDel="00000000" w:rsidP="00000000" w:rsidRDefault="00000000" w:rsidRPr="00000000" w14:paraId="00000037">
      <w:pPr>
        <w:widowControl w:val="0"/>
        <w:spacing w:after="0" w:before="0" w:line="240" w:lineRule="auto"/>
        <w:ind w:left="720" w:firstLine="720"/>
        <w:jc w:val="both"/>
        <w:rPr>
          <w:sz w:val="24"/>
          <w:szCs w:val="24"/>
        </w:rPr>
      </w:pPr>
      <w:r w:rsidDel="00000000" w:rsidR="00000000" w:rsidRPr="00000000">
        <w:rPr>
          <w:i w:val="1"/>
          <w:sz w:val="24"/>
          <w:szCs w:val="24"/>
          <w:rtl w:val="0"/>
        </w:rPr>
        <w:t xml:space="preserve">Stenocarpella zeae</w:t>
      </w:r>
      <w:r w:rsidDel="00000000" w:rsidR="00000000" w:rsidRPr="00000000">
        <w:rPr>
          <w:rtl w:val="0"/>
        </w:rPr>
      </w:r>
    </w:p>
    <w:p w:rsidR="00000000" w:rsidDel="00000000" w:rsidP="00000000" w:rsidRDefault="00000000" w:rsidRPr="00000000" w14:paraId="00000038">
      <w:pPr>
        <w:spacing w:after="200" w:line="240" w:lineRule="auto"/>
        <w:ind w:left="720" w:firstLine="720"/>
        <w:jc w:val="both"/>
        <w:rPr>
          <w:sz w:val="24"/>
          <w:szCs w:val="24"/>
        </w:rPr>
      </w:pPr>
      <w:r w:rsidDel="00000000" w:rsidR="00000000" w:rsidRPr="00000000">
        <w:rPr>
          <w:rtl w:val="0"/>
        </w:rPr>
      </w:r>
    </w:p>
    <w:p w:rsidR="00000000" w:rsidDel="00000000" w:rsidP="00000000" w:rsidRDefault="00000000" w:rsidRPr="00000000" w14:paraId="00000039">
      <w:pPr>
        <w:spacing w:after="200" w:line="240" w:lineRule="auto"/>
        <w:jc w:val="both"/>
        <w:rPr>
          <w:b w:val="1"/>
          <w:sz w:val="24"/>
          <w:szCs w:val="24"/>
        </w:rPr>
      </w:pPr>
      <w:r w:rsidDel="00000000" w:rsidR="00000000" w:rsidRPr="00000000">
        <w:rPr>
          <w:b w:val="1"/>
          <w:sz w:val="24"/>
          <w:szCs w:val="24"/>
          <w:rtl w:val="0"/>
        </w:rPr>
        <w:t xml:space="preserve">Categorización taxonómica: </w:t>
      </w:r>
    </w:p>
    <w:p w:rsidR="00000000" w:rsidDel="00000000" w:rsidP="00000000" w:rsidRDefault="00000000" w:rsidRPr="00000000" w14:paraId="0000003A">
      <w:pPr>
        <w:widowControl w:val="0"/>
        <w:spacing w:after="0" w:line="240" w:lineRule="auto"/>
        <w:jc w:val="both"/>
        <w:rPr>
          <w:sz w:val="24"/>
          <w:szCs w:val="24"/>
        </w:rPr>
      </w:pPr>
      <w:r w:rsidDel="00000000" w:rsidR="00000000" w:rsidRPr="00000000">
        <w:rPr>
          <w:sz w:val="24"/>
          <w:szCs w:val="24"/>
          <w:rtl w:val="0"/>
        </w:rPr>
        <w:t xml:space="preserve">Clase: </w:t>
        <w:tab/>
        <w:t xml:space="preserve">sordariomicetos</w:t>
      </w:r>
    </w:p>
    <w:p w:rsidR="00000000" w:rsidDel="00000000" w:rsidP="00000000" w:rsidRDefault="00000000" w:rsidRPr="00000000" w14:paraId="0000003B">
      <w:pPr>
        <w:widowControl w:val="0"/>
        <w:spacing w:after="0" w:line="240" w:lineRule="auto"/>
        <w:jc w:val="both"/>
        <w:rPr>
          <w:sz w:val="24"/>
          <w:szCs w:val="24"/>
        </w:rPr>
      </w:pPr>
      <w:r w:rsidDel="00000000" w:rsidR="00000000" w:rsidRPr="00000000">
        <w:rPr>
          <w:sz w:val="24"/>
          <w:szCs w:val="24"/>
          <w:rtl w:val="0"/>
        </w:rPr>
        <w:t xml:space="preserve">Subclase: </w:t>
        <w:tab/>
        <w:t xml:space="preserve">Sordariomycetidae</w:t>
      </w:r>
    </w:p>
    <w:p w:rsidR="00000000" w:rsidDel="00000000" w:rsidP="00000000" w:rsidRDefault="00000000" w:rsidRPr="00000000" w14:paraId="0000003C">
      <w:pPr>
        <w:widowControl w:val="0"/>
        <w:spacing w:after="0" w:line="240" w:lineRule="auto"/>
        <w:jc w:val="both"/>
        <w:rPr>
          <w:sz w:val="24"/>
          <w:szCs w:val="24"/>
        </w:rPr>
      </w:pPr>
      <w:r w:rsidDel="00000000" w:rsidR="00000000" w:rsidRPr="00000000">
        <w:rPr>
          <w:sz w:val="24"/>
          <w:szCs w:val="24"/>
          <w:rtl w:val="0"/>
        </w:rPr>
        <w:t xml:space="preserve">Orden: </w:t>
        <w:tab/>
        <w:t xml:space="preserve">Diaporthales</w:t>
      </w:r>
    </w:p>
    <w:p w:rsidR="00000000" w:rsidDel="00000000" w:rsidP="00000000" w:rsidRDefault="00000000" w:rsidRPr="00000000" w14:paraId="0000003D">
      <w:pPr>
        <w:widowControl w:val="0"/>
        <w:spacing w:after="0" w:line="240" w:lineRule="auto"/>
        <w:jc w:val="both"/>
        <w:rPr>
          <w:i w:val="1"/>
          <w:sz w:val="24"/>
          <w:szCs w:val="24"/>
        </w:rPr>
      </w:pPr>
      <w:r w:rsidDel="00000000" w:rsidR="00000000" w:rsidRPr="00000000">
        <w:rPr>
          <w:sz w:val="24"/>
          <w:szCs w:val="24"/>
          <w:rtl w:val="0"/>
        </w:rPr>
        <w:t xml:space="preserve">Género: </w:t>
        <w:tab/>
      </w:r>
      <w:r w:rsidDel="00000000" w:rsidR="00000000" w:rsidRPr="00000000">
        <w:rPr>
          <w:i w:val="1"/>
          <w:sz w:val="24"/>
          <w:szCs w:val="24"/>
          <w:rtl w:val="0"/>
        </w:rPr>
        <w:t xml:space="preserve">Stenocarpella</w:t>
      </w:r>
    </w:p>
    <w:p w:rsidR="00000000" w:rsidDel="00000000" w:rsidP="00000000" w:rsidRDefault="00000000" w:rsidRPr="00000000" w14:paraId="0000003E">
      <w:pPr>
        <w:widowControl w:val="0"/>
        <w:spacing w:after="0" w:line="240" w:lineRule="auto"/>
        <w:jc w:val="both"/>
        <w:rPr>
          <w:b w:val="1"/>
          <w:sz w:val="24"/>
          <w:szCs w:val="24"/>
        </w:rPr>
      </w:pPr>
      <w:r w:rsidDel="00000000" w:rsidR="00000000" w:rsidRPr="00000000">
        <w:rPr>
          <w:sz w:val="24"/>
          <w:szCs w:val="24"/>
          <w:rtl w:val="0"/>
        </w:rPr>
        <w:t xml:space="preserve">Especie:</w:t>
      </w:r>
      <w:r w:rsidDel="00000000" w:rsidR="00000000" w:rsidRPr="00000000">
        <w:rPr>
          <w:i w:val="1"/>
          <w:sz w:val="24"/>
          <w:szCs w:val="24"/>
          <w:rtl w:val="0"/>
        </w:rPr>
        <w:t xml:space="preserve"> </w:t>
        <w:tab/>
        <w:t xml:space="preserve">Stenocarpella macrospora</w:t>
      </w:r>
      <w:r w:rsidDel="00000000" w:rsidR="00000000" w:rsidRPr="00000000">
        <w:rPr>
          <w:rtl w:val="0"/>
        </w:rPr>
      </w:r>
    </w:p>
    <w:p w:rsidR="00000000" w:rsidDel="00000000" w:rsidP="00000000" w:rsidRDefault="00000000" w:rsidRPr="00000000" w14:paraId="0000003F">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6l3exqv4kep" w:id="3"/>
      <w:bookmarkEnd w:id="3"/>
      <w:r w:rsidDel="00000000" w:rsidR="00000000" w:rsidRPr="00000000">
        <w:rPr>
          <w:rtl w:val="0"/>
        </w:rPr>
      </w:r>
    </w:p>
    <w:p w:rsidR="00000000" w:rsidDel="00000000" w:rsidP="00000000" w:rsidRDefault="00000000" w:rsidRPr="00000000" w14:paraId="00000040">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5p0ey173dpa" w:id="4"/>
      <w:bookmarkEnd w:id="4"/>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Hospedantes / Especies afectadas</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ffffff" w:val="clear"/>
        <w:spacing w:after="200" w:line="240" w:lineRule="auto"/>
        <w:jc w:val="both"/>
        <w:rPr>
          <w:i w:val="1"/>
          <w:color w:val="000000"/>
          <w:sz w:val="24"/>
          <w:szCs w:val="24"/>
        </w:rPr>
      </w:pPr>
      <w:bookmarkStart w:colFirst="0" w:colLast="0" w:name="_heading=h.tyjcwt" w:id="5"/>
      <w:bookmarkEnd w:id="5"/>
      <w:r w:rsidDel="00000000" w:rsidR="00000000" w:rsidRPr="00000000">
        <w:rPr>
          <w:i w:val="1"/>
          <w:color w:val="000000"/>
          <w:sz w:val="24"/>
          <w:szCs w:val="24"/>
          <w:rtl w:val="0"/>
        </w:rPr>
        <w:t xml:space="preserve">Zea mays.</w:t>
      </w:r>
    </w:p>
    <w:p w:rsidR="00000000" w:rsidDel="00000000" w:rsidP="00000000" w:rsidRDefault="00000000" w:rsidRPr="00000000" w14:paraId="00000042">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rtbuz846hnn" w:id="6"/>
      <w:bookmarkEnd w:id="6"/>
      <w:r w:rsidDel="00000000" w:rsidR="00000000" w:rsidRPr="00000000">
        <w:rPr>
          <w:rtl w:val="0"/>
        </w:rPr>
      </w:r>
    </w:p>
    <w:p w:rsidR="00000000" w:rsidDel="00000000" w:rsidP="00000000" w:rsidRDefault="00000000" w:rsidRPr="00000000" w14:paraId="00000043">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bn2q722zmfn7" w:id="7"/>
      <w:bookmarkEnd w:id="7"/>
      <w:r w:rsidDel="00000000" w:rsidR="00000000" w:rsidRPr="00000000">
        <w:rPr>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Ciclo de la enfermedad </w:t>
      </w:r>
    </w:p>
    <w:p w:rsidR="00000000" w:rsidDel="00000000" w:rsidP="00000000" w:rsidRDefault="00000000" w:rsidRPr="00000000" w14:paraId="00000044">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yk9ktw8xjo5p" w:id="8"/>
      <w:bookmarkEnd w:id="8"/>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 Transmisión y supervivencia</w:t>
      </w:r>
      <w:r w:rsidDel="00000000" w:rsidR="00000000" w:rsidRPr="00000000">
        <w:rPr>
          <w:rtl w:val="0"/>
        </w:rPr>
      </w:r>
    </w:p>
    <w:p w:rsidR="00000000" w:rsidDel="00000000" w:rsidP="00000000" w:rsidRDefault="00000000" w:rsidRPr="00000000" w14:paraId="00000045">
      <w:pPr>
        <w:spacing w:after="200" w:line="240" w:lineRule="auto"/>
        <w:ind w:firstLine="720"/>
        <w:jc w:val="both"/>
        <w:rPr>
          <w:sz w:val="24"/>
          <w:szCs w:val="24"/>
        </w:rPr>
      </w:pPr>
      <w:r w:rsidDel="00000000" w:rsidR="00000000" w:rsidRPr="00000000">
        <w:rPr>
          <w:i w:val="1"/>
          <w:sz w:val="24"/>
          <w:szCs w:val="24"/>
          <w:rtl w:val="0"/>
        </w:rPr>
        <w:t xml:space="preserve">Stenocarpella macrospora</w:t>
      </w:r>
      <w:r w:rsidDel="00000000" w:rsidR="00000000" w:rsidRPr="00000000">
        <w:rPr>
          <w:sz w:val="24"/>
          <w:szCs w:val="24"/>
          <w:rtl w:val="0"/>
        </w:rPr>
        <w:t xml:space="preserve"> es un hongo necrótrofo, cuyo ciclo presenta una fase parásita cuando infecta a las plantas de maíz en desarrollo y una fase saprófita cuando sus esporas se encuentren en el rastrojo (Da Silva Siquiera et al., 2014). El micelio de este patógeno puede localizarse dentro de la semilla, por lo que ésta constituye un medio a través del cual </w:t>
      </w:r>
      <w:r w:rsidDel="00000000" w:rsidR="00000000" w:rsidRPr="00000000">
        <w:rPr>
          <w:i w:val="1"/>
          <w:sz w:val="24"/>
          <w:szCs w:val="24"/>
          <w:rtl w:val="0"/>
        </w:rPr>
        <w:t xml:space="preserve">S. macrospora</w:t>
      </w:r>
      <w:r w:rsidDel="00000000" w:rsidR="00000000" w:rsidRPr="00000000">
        <w:rPr>
          <w:sz w:val="24"/>
          <w:szCs w:val="24"/>
          <w:rtl w:val="0"/>
        </w:rPr>
        <w:t xml:space="preserve"> puede ingresar a nuevas zonas en las que antes no se hallaba presente (Da Silva Siquiera et al., 2014; EPPO). </w:t>
      </w:r>
    </w:p>
    <w:p w:rsidR="00000000" w:rsidDel="00000000" w:rsidP="00000000" w:rsidRDefault="00000000" w:rsidRPr="00000000" w14:paraId="00000046">
      <w:pPr>
        <w:spacing w:after="200" w:line="240" w:lineRule="auto"/>
        <w:ind w:firstLine="720"/>
        <w:jc w:val="both"/>
        <w:rPr>
          <w:sz w:val="24"/>
          <w:szCs w:val="24"/>
        </w:rPr>
      </w:pPr>
      <w:r w:rsidDel="00000000" w:rsidR="00000000" w:rsidRPr="00000000">
        <w:rPr>
          <w:i w:val="1"/>
          <w:sz w:val="24"/>
          <w:szCs w:val="24"/>
          <w:rtl w:val="0"/>
        </w:rPr>
        <w:t xml:space="preserve">S. macrospora</w:t>
      </w:r>
      <w:r w:rsidDel="00000000" w:rsidR="00000000" w:rsidRPr="00000000">
        <w:rPr>
          <w:sz w:val="24"/>
          <w:szCs w:val="24"/>
          <w:rtl w:val="0"/>
        </w:rPr>
        <w:t xml:space="preserve"> sobrevive durante el invierno en el rastrojo de maíz, en forma de picnidios (restos de hojas, espigas y cañas) o en la semilla, lo cual constituye la fuente de inóculo que genera la infección primaria. En primavera, con condiciones de elevada humedad y temperatura las esporas son dispersadas por medio del viento, la lluvia y probablemente insectos (Bermudez-Cardona et al., 2016; Da Silva Siquiera et al., 2014;  EPPO; Wise et al., 2017). Las plantas de maíz son primero afectadas a nivel del mesocótilo, las raíces, la corona y a nivel de los nudos. Luego la infección avanza hacia el tallo, siendo afectado el sistema vascular lo que provoca una disminución en el crecimiento del grano. Esta etapa se ve favorecida por condiciones de baja humedad en el ambiente al inicio del período de crecimiento, seguido por períodos de extensas precipitaciones, luego de R1 (emergencia de estigmas) (EPPO).</w:t>
      </w:r>
    </w:p>
    <w:p w:rsidR="00000000" w:rsidDel="00000000" w:rsidP="00000000" w:rsidRDefault="00000000" w:rsidRPr="00000000" w14:paraId="00000047">
      <w:pPr>
        <w:spacing w:after="200" w:line="240" w:lineRule="auto"/>
        <w:ind w:firstLine="720"/>
        <w:jc w:val="both"/>
        <w:rPr>
          <w:sz w:val="24"/>
          <w:szCs w:val="24"/>
        </w:rPr>
      </w:pPr>
      <w:r w:rsidDel="00000000" w:rsidR="00000000" w:rsidRPr="00000000">
        <w:rPr>
          <w:sz w:val="24"/>
          <w:szCs w:val="24"/>
          <w:rtl w:val="0"/>
        </w:rPr>
        <w:t xml:space="preserve">A partir de R1, las esporas de este patógeno pueden tomar contacto con las espigas, produciéndose la infección a nivel del raquis, para luego infectar los granos en desarrollo los cuales acaban pudriéndose (Bermudez-Cardona et al., 2016; Da Silva Siquiera et al., 2014;  EPPO; Wise et al., 2017). Esta fase se verá favorecida por elevados niveles de precipitaciones, desde R1 hasta la cosecha, siendo las primeras semanas a partir de R1 aquellas en las que las espigas serán más susceptibles. Aquellos híbridos cuyos granos posean pericarpios más finos también serán más susceptibles. Otros factores que influyen en la severidad de la enfermedad son deficiencias de potasio, suelos pobremente drenados, daños mecánicos o generados por insectos, y la densidad de plantación (EPPO).</w:t>
      </w:r>
    </w:p>
    <w:p w:rsidR="00000000" w:rsidDel="00000000" w:rsidP="00000000" w:rsidRDefault="00000000" w:rsidRPr="00000000" w14:paraId="00000048">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k8l823o1vi1" w:id="9"/>
      <w:bookmarkEnd w:id="9"/>
      <w:r w:rsidDel="00000000" w:rsidR="00000000" w:rsidRPr="00000000">
        <w:rPr>
          <w:rtl w:val="0"/>
        </w:rPr>
      </w:r>
    </w:p>
    <w:p w:rsidR="00000000" w:rsidDel="00000000" w:rsidP="00000000" w:rsidRDefault="00000000" w:rsidRPr="00000000" w14:paraId="00000049">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e27dsdyuv978" w:id="10"/>
      <w:bookmarkEnd w:id="10"/>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 Incidencia</w:t>
      </w:r>
      <w:r w:rsidDel="00000000" w:rsidR="00000000" w:rsidRPr="00000000">
        <w:rPr>
          <w:rtl w:val="0"/>
        </w:rPr>
      </w:r>
    </w:p>
    <w:p w:rsidR="00000000" w:rsidDel="00000000" w:rsidP="00000000" w:rsidRDefault="00000000" w:rsidRPr="00000000" w14:paraId="0000004A">
      <w:pPr>
        <w:spacing w:after="200" w:before="200" w:line="240" w:lineRule="auto"/>
        <w:ind w:firstLine="720"/>
        <w:jc w:val="both"/>
        <w:rPr>
          <w:sz w:val="24"/>
          <w:szCs w:val="24"/>
        </w:rPr>
      </w:pPr>
      <w:r w:rsidDel="00000000" w:rsidR="00000000" w:rsidRPr="00000000">
        <w:rPr>
          <w:color w:val="000000"/>
          <w:sz w:val="24"/>
          <w:szCs w:val="24"/>
          <w:rtl w:val="0"/>
        </w:rPr>
        <w:t xml:space="preserve">En el trabajo de Da Silva Siquiera et al. (2014) se menciona que la transmisión por semillas de este hongo es muy variable en </w:t>
      </w:r>
      <w:r w:rsidDel="00000000" w:rsidR="00000000" w:rsidRPr="00000000">
        <w:rPr>
          <w:sz w:val="24"/>
          <w:szCs w:val="24"/>
          <w:rtl w:val="0"/>
        </w:rPr>
        <w:t xml:space="preserve">función</w:t>
      </w:r>
      <w:r w:rsidDel="00000000" w:rsidR="00000000" w:rsidRPr="00000000">
        <w:rPr>
          <w:color w:val="000000"/>
          <w:sz w:val="24"/>
          <w:szCs w:val="24"/>
          <w:rtl w:val="0"/>
        </w:rPr>
        <w:t xml:space="preserve"> del cultivar, las condiciones ambientales y la virulencia del patógeno. En dicho trabajo, tras haber inoculado dos cultivares de maíz con este hongo, en condiciones controladas de laboratorio, se observó que la transmisión de </w:t>
      </w:r>
      <w:r w:rsidDel="00000000" w:rsidR="00000000" w:rsidRPr="00000000">
        <w:rPr>
          <w:i w:val="1"/>
          <w:color w:val="000000"/>
          <w:sz w:val="24"/>
          <w:szCs w:val="24"/>
          <w:rtl w:val="0"/>
        </w:rPr>
        <w:t xml:space="preserve">S. macrospora</w:t>
      </w:r>
      <w:r w:rsidDel="00000000" w:rsidR="00000000" w:rsidRPr="00000000">
        <w:rPr>
          <w:color w:val="000000"/>
          <w:sz w:val="24"/>
          <w:szCs w:val="24"/>
          <w:rtl w:val="0"/>
        </w:rPr>
        <w:t xml:space="preserve"> alcanzó un valor máximo del 85,8 %. Además, se menciona que, bajo ciertas circunstancias, la transmisión en los casos que la enfermedad se comporta de manera asintomática puede </w:t>
      </w:r>
      <w:r w:rsidDel="00000000" w:rsidR="00000000" w:rsidRPr="00000000">
        <w:rPr>
          <w:sz w:val="24"/>
          <w:szCs w:val="24"/>
          <w:rtl w:val="0"/>
        </w:rPr>
        <w:t xml:space="preserve">alcanzar un valor del 6,9%.</w:t>
      </w:r>
    </w:p>
    <w:p w:rsidR="00000000" w:rsidDel="00000000" w:rsidP="00000000" w:rsidRDefault="00000000" w:rsidRPr="00000000" w14:paraId="0000004B">
      <w:pPr>
        <w:spacing w:after="200" w:before="200" w:line="240" w:lineRule="auto"/>
        <w:ind w:firstLine="720"/>
        <w:jc w:val="both"/>
        <w:rPr>
          <w:sz w:val="24"/>
          <w:szCs w:val="24"/>
        </w:rPr>
      </w:pPr>
      <w:r w:rsidDel="00000000" w:rsidR="00000000" w:rsidRPr="00000000">
        <w:rPr>
          <w:sz w:val="24"/>
          <w:szCs w:val="24"/>
          <w:rtl w:val="0"/>
        </w:rPr>
        <w:t xml:space="preserve">Cuantificar este parámetro, además, es un proceso complicado ya que la presencia de </w:t>
      </w:r>
      <w:r w:rsidDel="00000000" w:rsidR="00000000" w:rsidRPr="00000000">
        <w:rPr>
          <w:i w:val="1"/>
          <w:sz w:val="24"/>
          <w:szCs w:val="24"/>
          <w:rtl w:val="0"/>
        </w:rPr>
        <w:t xml:space="preserve">S. macrospora </w:t>
      </w:r>
      <w:r w:rsidDel="00000000" w:rsidR="00000000" w:rsidRPr="00000000">
        <w:rPr>
          <w:sz w:val="24"/>
          <w:szCs w:val="24"/>
          <w:rtl w:val="0"/>
        </w:rPr>
        <w:t xml:space="preserve">afectando a maíz está ligada también a fallas en la germinación, plantas asintomáticas y a otros hongos que también afectan a las semillas. A esto se suma que actualmente no hay un medio de crecimiento específico para este patógeno (Casa et al., 2006, en Da Silva Siquiera et al., 2014).</w:t>
      </w:r>
    </w:p>
    <w:p w:rsidR="00000000" w:rsidDel="00000000" w:rsidP="00000000" w:rsidRDefault="00000000" w:rsidRPr="00000000" w14:paraId="0000004C">
      <w:pPr>
        <w:spacing w:after="200" w:before="200" w:line="240" w:lineRule="auto"/>
        <w:ind w:firstLine="720"/>
        <w:jc w:val="both"/>
        <w:rPr>
          <w:sz w:val="24"/>
          <w:szCs w:val="24"/>
        </w:rPr>
      </w:pPr>
      <w:r w:rsidDel="00000000" w:rsidR="00000000" w:rsidRPr="00000000">
        <w:rPr>
          <w:sz w:val="24"/>
          <w:szCs w:val="24"/>
          <w:rtl w:val="0"/>
        </w:rPr>
        <w:t xml:space="preserve">Wise et al. (2017) mencionan que actualmente hay híbridos de maíz disponibles en el mercado que son menos susceptibles a esta enfermedad, si bien no hay ninguno que sea totalmente resistente a ésta.</w:t>
      </w:r>
    </w:p>
    <w:p w:rsidR="00000000" w:rsidDel="00000000" w:rsidP="00000000" w:rsidRDefault="00000000" w:rsidRPr="00000000" w14:paraId="0000004D">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kv5l27id05ni" w:id="11"/>
      <w:bookmarkEnd w:id="11"/>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 Síntomas asociados a los distintos órganos y estadios fenológicos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sz w:val="24"/>
          <w:szCs w:val="24"/>
        </w:rPr>
      </w:pPr>
      <w:r w:rsidDel="00000000" w:rsidR="00000000" w:rsidRPr="00000000">
        <w:rPr>
          <w:sz w:val="24"/>
          <w:szCs w:val="24"/>
          <w:rtl w:val="0"/>
        </w:rPr>
        <w:t xml:space="preserve">Los primeros síntomas en las hojas se manifiestan como manchas pequeñas de color marrón, rodeadas por un halo clorótico, que luego se expanden adoptando una forma irregular o elíptica (Bermudez Cardona et al., 2016). Sobre estas manchas también se desarrolla el signo de la enfermedad que son los picnidios. Las hojas acaban marchitas y secas (Romero &amp; Wise, 2015).</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sz w:val="24"/>
          <w:szCs w:val="24"/>
        </w:rPr>
      </w:pPr>
      <w:r w:rsidDel="00000000" w:rsidR="00000000" w:rsidRPr="00000000">
        <w:rPr>
          <w:sz w:val="24"/>
          <w:szCs w:val="24"/>
          <w:rtl w:val="0"/>
        </w:rPr>
        <w:t xml:space="preserve">En</w:t>
      </w:r>
      <w:r w:rsidDel="00000000" w:rsidR="00000000" w:rsidRPr="00000000">
        <w:rPr>
          <w:color w:val="000000"/>
          <w:sz w:val="24"/>
          <w:szCs w:val="24"/>
          <w:rtl w:val="0"/>
        </w:rPr>
        <w:t xml:space="preserve"> el tallo se producen lesiones de forma ovalada, alargada o irregular, de 1 a 10 cm de largo, que pueden acabar uniéndose, con un centro de color marrón claro. Los picnidios de color oscuro también se desarrollan en esta zona, y también puede hacerlo el micelio del hongo de color blanco (EPPO, 2022). La base del tallo puede acabar pudriéndose (Mário et al., 2017).</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sz w:val="24"/>
          <w:szCs w:val="24"/>
        </w:rPr>
      </w:pPr>
      <w:r w:rsidDel="00000000" w:rsidR="00000000" w:rsidRPr="00000000">
        <w:rPr>
          <w:color w:val="000000"/>
          <w:sz w:val="24"/>
          <w:szCs w:val="24"/>
          <w:rtl w:val="0"/>
        </w:rPr>
        <w:t xml:space="preserve">A nivel de la espiga, la infección inicia en la base de estas, pudiendo volverse completamente de color marrón grisáceo e incluso pudrirse. Los picnidios se forman sobre los granos y el micelio blanco del hongo se desarrolla entre los mismos (EPPO, 2022).</w:t>
      </w:r>
      <w:r w:rsidDel="00000000" w:rsidR="00000000" w:rsidRPr="00000000">
        <w:rPr>
          <w:rtl w:val="0"/>
        </w:rPr>
      </w:r>
    </w:p>
    <w:p w:rsidR="00000000" w:rsidDel="00000000" w:rsidP="00000000" w:rsidRDefault="00000000" w:rsidRPr="00000000" w14:paraId="00000051">
      <w:pPr>
        <w:spacing w:after="200" w:line="240" w:lineRule="auto"/>
        <w:jc w:val="both"/>
        <w:rPr>
          <w:color w:val="000000"/>
          <w:sz w:val="24"/>
          <w:szCs w:val="24"/>
        </w:rPr>
      </w:pPr>
      <w:r w:rsidDel="00000000" w:rsidR="00000000" w:rsidRPr="00000000">
        <w:rPr>
          <w:color w:val="000000"/>
          <w:sz w:val="24"/>
          <w:szCs w:val="24"/>
          <w:rtl w:val="0"/>
        </w:rPr>
        <w:tab/>
        <w:t xml:space="preserve">En zonas frías a partir de las semillas infectadas se puede producir la muerte de las plántulas en premergencia, mientras que en zonas cálidas pueden producirse plántulas débiles. También pueden </w:t>
      </w:r>
      <w:r w:rsidDel="00000000" w:rsidR="00000000" w:rsidRPr="00000000">
        <w:rPr>
          <w:sz w:val="24"/>
          <w:szCs w:val="24"/>
          <w:rtl w:val="0"/>
        </w:rPr>
        <w:t xml:space="preserve">desarrollar lesiones</w:t>
      </w:r>
      <w:r w:rsidDel="00000000" w:rsidR="00000000" w:rsidRPr="00000000">
        <w:rPr>
          <w:color w:val="000000"/>
          <w:sz w:val="24"/>
          <w:szCs w:val="24"/>
          <w:rtl w:val="0"/>
        </w:rPr>
        <w:t xml:space="preserve"> marrones en el tallo, mientras que las raíces seminales mueren (EPPO, 2022), al igual que puede hacerlo el resto de la plántula (Mário et al., 2017).</w:t>
      </w:r>
    </w:p>
    <w:p w:rsidR="00000000" w:rsidDel="00000000" w:rsidP="00000000" w:rsidRDefault="00000000" w:rsidRPr="00000000" w14:paraId="00000052">
      <w:pPr>
        <w:spacing w:after="200" w:line="240" w:lineRule="auto"/>
        <w:ind w:firstLine="720"/>
        <w:jc w:val="both"/>
        <w:rPr>
          <w:color w:val="000000"/>
          <w:sz w:val="24"/>
          <w:szCs w:val="24"/>
        </w:rPr>
      </w:pPr>
      <w:r w:rsidDel="00000000" w:rsidR="00000000" w:rsidRPr="00000000">
        <w:rPr>
          <w:color w:val="000000"/>
          <w:sz w:val="24"/>
          <w:szCs w:val="24"/>
          <w:rtl w:val="0"/>
        </w:rPr>
        <w:t xml:space="preserve">La severidad de la enfermedad está influida por deficiencias de potasio, de drenaje, </w:t>
      </w:r>
      <w:r w:rsidDel="00000000" w:rsidR="00000000" w:rsidRPr="00000000">
        <w:rPr>
          <w:sz w:val="24"/>
          <w:szCs w:val="24"/>
          <w:rtl w:val="0"/>
        </w:rPr>
        <w:t xml:space="preserve">y por el </w:t>
      </w:r>
      <w:r w:rsidDel="00000000" w:rsidR="00000000" w:rsidRPr="00000000">
        <w:rPr>
          <w:color w:val="000000"/>
          <w:sz w:val="24"/>
          <w:szCs w:val="24"/>
          <w:rtl w:val="0"/>
        </w:rPr>
        <w:t xml:space="preserve">daño </w:t>
      </w:r>
      <w:r w:rsidDel="00000000" w:rsidR="00000000" w:rsidRPr="00000000">
        <w:rPr>
          <w:sz w:val="24"/>
          <w:szCs w:val="24"/>
          <w:rtl w:val="0"/>
        </w:rPr>
        <w:t xml:space="preserve">mecánico generado</w:t>
      </w:r>
      <w:r w:rsidDel="00000000" w:rsidR="00000000" w:rsidRPr="00000000">
        <w:rPr>
          <w:color w:val="000000"/>
          <w:sz w:val="24"/>
          <w:szCs w:val="24"/>
          <w:rtl w:val="0"/>
        </w:rPr>
        <w:t xml:space="preserve"> por insectos</w:t>
      </w:r>
      <w:r w:rsidDel="00000000" w:rsidR="00000000" w:rsidRPr="00000000">
        <w:rPr>
          <w:sz w:val="24"/>
          <w:szCs w:val="24"/>
          <w:rtl w:val="0"/>
        </w:rPr>
        <w:t xml:space="preserve"> y también por</w:t>
      </w:r>
      <w:r w:rsidDel="00000000" w:rsidR="00000000" w:rsidRPr="00000000">
        <w:rPr>
          <w:color w:val="000000"/>
          <w:sz w:val="24"/>
          <w:szCs w:val="24"/>
          <w:rtl w:val="0"/>
        </w:rPr>
        <w:t xml:space="preserve"> el cultivar utilizado y la densidad de plantación. La podredumbre de granos y espigas se ve favorecida por la presencia de lluvias durante la etapa reproductiva (EPPO, 2022). La incidencia de esta enfermedad se visualiza como un secado anticipado de plantas, que se presenta de forma aleatoria en el lote, las plantas se van secando de arriba hacia abajo y con el tiempo se puede observar vuelco de plantas (De Rossi et al., 2016).</w:t>
      </w:r>
    </w:p>
    <w:p w:rsidR="00000000" w:rsidDel="00000000" w:rsidP="00000000" w:rsidRDefault="00000000" w:rsidRPr="00000000" w14:paraId="00000053">
      <w:pPr>
        <w:spacing w:after="200" w:line="240" w:lineRule="auto"/>
        <w:ind w:firstLine="720"/>
        <w:jc w:val="both"/>
        <w:rPr>
          <w:sz w:val="24"/>
          <w:szCs w:val="24"/>
        </w:rPr>
      </w:pPr>
      <w:r w:rsidDel="00000000" w:rsidR="00000000" w:rsidRPr="00000000">
        <w:rPr>
          <w:color w:val="000000"/>
          <w:sz w:val="24"/>
          <w:szCs w:val="24"/>
          <w:rtl w:val="0"/>
        </w:rPr>
        <w:t xml:space="preserve">Los maíces flint son más resistentes que los dentados, si bien no hay ningún híbrido que sea inmune. El tratamiento de semilla es efectivo para el control de la enfermedad, no obstante, una vez que el hongo se establece en el suelo, es necesaria la rotación de cultivos para poder eliminarlo (EPPO, 2022).</w:t>
      </w:r>
      <w:r w:rsidDel="00000000" w:rsidR="00000000" w:rsidRPr="00000000">
        <w:rPr>
          <w:rtl w:val="0"/>
        </w:rPr>
      </w:r>
    </w:p>
    <w:p w:rsidR="00000000" w:rsidDel="00000000" w:rsidP="00000000" w:rsidRDefault="00000000" w:rsidRPr="00000000" w14:paraId="00000054">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55">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irwhxb3jn17p" w:id="12"/>
      <w:bookmarkEnd w:id="12"/>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.3.4 Comportamiento y distribución en los lotes</w:t>
      </w:r>
    </w:p>
    <w:p w:rsidR="00000000" w:rsidDel="00000000" w:rsidP="00000000" w:rsidRDefault="00000000" w:rsidRPr="00000000" w14:paraId="00000056">
      <w:pPr>
        <w:spacing w:after="200" w:line="240" w:lineRule="auto"/>
        <w:ind w:firstLine="720"/>
        <w:jc w:val="both"/>
        <w:rPr>
          <w:sz w:val="24"/>
          <w:szCs w:val="24"/>
        </w:rPr>
      </w:pPr>
      <w:r w:rsidDel="00000000" w:rsidR="00000000" w:rsidRPr="00000000">
        <w:rPr>
          <w:sz w:val="24"/>
          <w:szCs w:val="24"/>
          <w:rtl w:val="0"/>
        </w:rPr>
        <w:t xml:space="preserve">En primavera la infección primaria se ve favorecida por condiciones de baja humedad en el ambiente al inicio del período de crecimiento, seguido por períodos de extensas precipitaciones, luego de R1 (emergencia de estigmas) (EPPO,2022). A partir de R1, las esporas de </w:t>
      </w:r>
      <w:r w:rsidDel="00000000" w:rsidR="00000000" w:rsidRPr="00000000">
        <w:rPr>
          <w:i w:val="1"/>
          <w:sz w:val="24"/>
          <w:szCs w:val="24"/>
          <w:rtl w:val="0"/>
        </w:rPr>
        <w:t xml:space="preserve">S. macrospora</w:t>
      </w:r>
      <w:r w:rsidDel="00000000" w:rsidR="00000000" w:rsidRPr="00000000">
        <w:rPr>
          <w:sz w:val="24"/>
          <w:szCs w:val="24"/>
          <w:rtl w:val="0"/>
        </w:rPr>
        <w:t xml:space="preserve"> pueden tomar contacto con las espigas para luego infectar los granos en desarrollo, que acaban pudriéndose (Bermudez-Cardona et al., 2016; Da Silva Siquiera et al., 2014;  EPPO; Wise et al., 2017). Las condiciones que favorecen esto son los elevados niveles de precipitaciones, desde R1 hasta la cosecha, siendo las primeras semanas a partir de R1 aquellas en las que las espigas serán más susceptibles. </w:t>
      </w:r>
    </w:p>
    <w:p w:rsidR="00000000" w:rsidDel="00000000" w:rsidP="00000000" w:rsidRDefault="00000000" w:rsidRPr="00000000" w14:paraId="00000057">
      <w:pPr>
        <w:spacing w:after="200" w:line="240" w:lineRule="auto"/>
        <w:ind w:firstLine="720"/>
        <w:jc w:val="both"/>
        <w:rPr>
          <w:sz w:val="24"/>
          <w:szCs w:val="24"/>
        </w:rPr>
      </w:pPr>
      <w:r w:rsidDel="00000000" w:rsidR="00000000" w:rsidRPr="00000000">
        <w:rPr>
          <w:sz w:val="24"/>
          <w:szCs w:val="24"/>
          <w:rtl w:val="0"/>
        </w:rPr>
        <w:t xml:space="preserve">La enfermedad se visualiza como un secado anticipado de plantas, que se presenta de forma aleatoria en el lote, las plantas se van secando de arriba hacia abajo y con el tiempo se puede producir el vuelco de las mismas  (De Rossi et al., 2016).</w:t>
      </w:r>
    </w:p>
    <w:p w:rsidR="00000000" w:rsidDel="00000000" w:rsidP="00000000" w:rsidRDefault="00000000" w:rsidRPr="00000000" w14:paraId="00000058">
      <w:pPr>
        <w:spacing w:after="200"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059">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b2ymvudszdto" w:id="13"/>
      <w:bookmarkEnd w:id="13"/>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.3.5 Similitudes con otros patógenos</w:t>
      </w:r>
    </w:p>
    <w:p w:rsidR="00000000" w:rsidDel="00000000" w:rsidP="00000000" w:rsidRDefault="00000000" w:rsidRPr="00000000" w14:paraId="0000005A">
      <w:pPr>
        <w:spacing w:after="200" w:line="240" w:lineRule="auto"/>
        <w:ind w:firstLine="720"/>
        <w:jc w:val="both"/>
        <w:rPr>
          <w:sz w:val="24"/>
          <w:szCs w:val="24"/>
        </w:rPr>
      </w:pPr>
      <w:r w:rsidDel="00000000" w:rsidR="00000000" w:rsidRPr="00000000">
        <w:rPr>
          <w:sz w:val="24"/>
          <w:szCs w:val="24"/>
          <w:rtl w:val="0"/>
        </w:rPr>
        <w:t xml:space="preserve">Los síntomas de esta enfermedad, así como el ciclo que cumple este patógeno es muy similar al de </w:t>
      </w:r>
      <w:r w:rsidDel="00000000" w:rsidR="00000000" w:rsidRPr="00000000">
        <w:rPr>
          <w:i w:val="1"/>
          <w:sz w:val="24"/>
          <w:szCs w:val="24"/>
          <w:rtl w:val="0"/>
        </w:rPr>
        <w:t xml:space="preserve">Stenocarpella maydis</w:t>
      </w:r>
      <w:r w:rsidDel="00000000" w:rsidR="00000000" w:rsidRPr="00000000">
        <w:rPr>
          <w:sz w:val="24"/>
          <w:szCs w:val="24"/>
          <w:rtl w:val="0"/>
        </w:rPr>
        <w:t xml:space="preserve">, solo que este último se encuentra en zonas más frías que </w:t>
      </w:r>
      <w:r w:rsidDel="00000000" w:rsidR="00000000" w:rsidRPr="00000000">
        <w:rPr>
          <w:i w:val="1"/>
          <w:sz w:val="24"/>
          <w:szCs w:val="24"/>
          <w:rtl w:val="0"/>
        </w:rPr>
        <w:t xml:space="preserve">S. macrospora. </w:t>
      </w:r>
      <w:r w:rsidDel="00000000" w:rsidR="00000000" w:rsidRPr="00000000">
        <w:rPr>
          <w:sz w:val="24"/>
          <w:szCs w:val="24"/>
          <w:rtl w:val="0"/>
        </w:rPr>
        <w:t xml:space="preserve">Por medio de análisis de laboratorio es posible identificar y diferenciar a ambas especies. (EPPO, 2022).</w:t>
      </w:r>
    </w:p>
    <w:p w:rsidR="00000000" w:rsidDel="00000000" w:rsidP="00000000" w:rsidRDefault="00000000" w:rsidRPr="00000000" w14:paraId="0000005B">
      <w:pPr>
        <w:spacing w:after="200" w:line="240" w:lineRule="auto"/>
        <w:ind w:firstLine="720"/>
        <w:jc w:val="both"/>
        <w:rPr>
          <w:color w:val="000000"/>
          <w:sz w:val="24"/>
          <w:szCs w:val="24"/>
        </w:rPr>
      </w:pPr>
      <w:r w:rsidDel="00000000" w:rsidR="00000000" w:rsidRPr="00000000">
        <w:rPr>
          <w:sz w:val="24"/>
          <w:szCs w:val="24"/>
          <w:rtl w:val="0"/>
        </w:rPr>
        <w:t xml:space="preserve">La pudrición de raíz y tallo también puede ser provocada por </w:t>
      </w:r>
      <w:r w:rsidDel="00000000" w:rsidR="00000000" w:rsidRPr="00000000">
        <w:rPr>
          <w:i w:val="1"/>
          <w:sz w:val="24"/>
          <w:szCs w:val="24"/>
          <w:rtl w:val="0"/>
        </w:rPr>
        <w:t xml:space="preserve">Fusarium graminearum</w:t>
      </w:r>
      <w:r w:rsidDel="00000000" w:rsidR="00000000" w:rsidRPr="00000000">
        <w:rPr>
          <w:sz w:val="24"/>
          <w:szCs w:val="24"/>
          <w:rtl w:val="0"/>
        </w:rPr>
        <w:t xml:space="preserve">, </w:t>
      </w:r>
      <w:r w:rsidDel="00000000" w:rsidR="00000000" w:rsidRPr="00000000">
        <w:rPr>
          <w:i w:val="1"/>
          <w:sz w:val="24"/>
          <w:szCs w:val="24"/>
          <w:rtl w:val="0"/>
        </w:rPr>
        <w:t xml:space="preserve">Fusarium verticillioides</w:t>
      </w:r>
      <w:r w:rsidDel="00000000" w:rsidR="00000000" w:rsidRPr="00000000">
        <w:rPr>
          <w:sz w:val="24"/>
          <w:szCs w:val="24"/>
          <w:rtl w:val="0"/>
        </w:rPr>
        <w:t xml:space="preserve">, </w:t>
      </w:r>
      <w:r w:rsidDel="00000000" w:rsidR="00000000" w:rsidRPr="00000000">
        <w:rPr>
          <w:i w:val="1"/>
          <w:sz w:val="24"/>
          <w:szCs w:val="24"/>
          <w:rtl w:val="0"/>
        </w:rPr>
        <w:t xml:space="preserve">Stenocarpella maydis</w:t>
      </w:r>
      <w:r w:rsidDel="00000000" w:rsidR="00000000" w:rsidRPr="00000000">
        <w:rPr>
          <w:sz w:val="24"/>
          <w:szCs w:val="24"/>
          <w:rtl w:val="0"/>
        </w:rPr>
        <w:t xml:space="preserve">, </w:t>
      </w:r>
      <w:r w:rsidDel="00000000" w:rsidR="00000000" w:rsidRPr="00000000">
        <w:rPr>
          <w:i w:val="1"/>
          <w:sz w:val="24"/>
          <w:szCs w:val="24"/>
          <w:rtl w:val="0"/>
        </w:rPr>
        <w:t xml:space="preserve">Colletotrichum graminicola</w:t>
      </w:r>
      <w:r w:rsidDel="00000000" w:rsidR="00000000" w:rsidRPr="00000000">
        <w:rPr>
          <w:sz w:val="24"/>
          <w:szCs w:val="24"/>
          <w:rtl w:val="0"/>
        </w:rPr>
        <w:t xml:space="preserve"> y </w:t>
      </w:r>
      <w:r w:rsidDel="00000000" w:rsidR="00000000" w:rsidRPr="00000000">
        <w:rPr>
          <w:i w:val="1"/>
          <w:sz w:val="24"/>
          <w:szCs w:val="24"/>
          <w:rtl w:val="0"/>
        </w:rPr>
        <w:t xml:space="preserve">Macrophomina phaseolina</w:t>
      </w:r>
      <w:r w:rsidDel="00000000" w:rsidR="00000000" w:rsidRPr="00000000">
        <w:rPr>
          <w:sz w:val="24"/>
          <w:szCs w:val="24"/>
          <w:rtl w:val="0"/>
        </w:rPr>
        <w:t xml:space="preserve">. Por otra parte, la pudrición de espigas también puede deberse a </w:t>
      </w:r>
      <w:r w:rsidDel="00000000" w:rsidR="00000000" w:rsidRPr="00000000">
        <w:rPr>
          <w:i w:val="1"/>
          <w:sz w:val="24"/>
          <w:szCs w:val="24"/>
          <w:rtl w:val="0"/>
        </w:rPr>
        <w:t xml:space="preserve">Fusarium graminearum</w:t>
      </w:r>
      <w:r w:rsidDel="00000000" w:rsidR="00000000" w:rsidRPr="00000000">
        <w:rPr>
          <w:sz w:val="24"/>
          <w:szCs w:val="24"/>
          <w:rtl w:val="0"/>
        </w:rPr>
        <w:t xml:space="preserve">, </w:t>
      </w:r>
      <w:r w:rsidDel="00000000" w:rsidR="00000000" w:rsidRPr="00000000">
        <w:rPr>
          <w:i w:val="1"/>
          <w:sz w:val="24"/>
          <w:szCs w:val="24"/>
          <w:rtl w:val="0"/>
        </w:rPr>
        <w:t xml:space="preserve">Fusarium verticillioides</w:t>
      </w:r>
      <w:r w:rsidDel="00000000" w:rsidR="00000000" w:rsidRPr="00000000">
        <w:rPr>
          <w:sz w:val="24"/>
          <w:szCs w:val="24"/>
          <w:rtl w:val="0"/>
        </w:rPr>
        <w:t xml:space="preserve">, </w:t>
      </w:r>
      <w:r w:rsidDel="00000000" w:rsidR="00000000" w:rsidRPr="00000000">
        <w:rPr>
          <w:i w:val="1"/>
          <w:sz w:val="24"/>
          <w:szCs w:val="24"/>
          <w:rtl w:val="0"/>
        </w:rPr>
        <w:t xml:space="preserve">Stenocarpella maydis</w:t>
      </w:r>
      <w:r w:rsidDel="00000000" w:rsidR="00000000" w:rsidRPr="00000000">
        <w:rPr>
          <w:sz w:val="24"/>
          <w:szCs w:val="24"/>
          <w:rtl w:val="0"/>
        </w:rPr>
        <w:t xml:space="preserve">, </w:t>
      </w:r>
      <w:r w:rsidDel="00000000" w:rsidR="00000000" w:rsidRPr="00000000">
        <w:rPr>
          <w:i w:val="1"/>
          <w:sz w:val="24"/>
          <w:szCs w:val="24"/>
          <w:rtl w:val="0"/>
        </w:rPr>
        <w:t xml:space="preserve">Aspergillus spp</w:t>
      </w:r>
      <w:r w:rsidDel="00000000" w:rsidR="00000000" w:rsidRPr="00000000">
        <w:rPr>
          <w:sz w:val="24"/>
          <w:szCs w:val="24"/>
          <w:rtl w:val="0"/>
        </w:rPr>
        <w:t xml:space="preserve">. y </w:t>
      </w:r>
      <w:r w:rsidDel="00000000" w:rsidR="00000000" w:rsidRPr="00000000">
        <w:rPr>
          <w:i w:val="1"/>
          <w:sz w:val="24"/>
          <w:szCs w:val="24"/>
          <w:rtl w:val="0"/>
        </w:rPr>
        <w:t xml:space="preserve">Penicillium spp</w:t>
      </w:r>
      <w:r w:rsidDel="00000000" w:rsidR="00000000" w:rsidRPr="00000000">
        <w:rPr>
          <w:sz w:val="24"/>
          <w:szCs w:val="24"/>
          <w:rtl w:val="0"/>
        </w:rPr>
        <w:t xml:space="preserve">. (De Rossi et al., 2016).</w:t>
      </w:r>
      <w:r w:rsidDel="00000000" w:rsidR="00000000" w:rsidRPr="00000000">
        <w:rPr>
          <w:rtl w:val="0"/>
        </w:rPr>
      </w:r>
    </w:p>
    <w:p w:rsidR="00000000" w:rsidDel="00000000" w:rsidP="00000000" w:rsidRDefault="00000000" w:rsidRPr="00000000" w14:paraId="0000005C">
      <w:pPr>
        <w:spacing w:after="200" w:line="240" w:lineRule="auto"/>
        <w:jc w:val="both"/>
        <w:rPr>
          <w:color w:val="000000"/>
          <w:sz w:val="24"/>
          <w:szCs w:val="24"/>
        </w:rPr>
      </w:pPr>
      <w:r w:rsidDel="00000000" w:rsidR="00000000" w:rsidRPr="00000000">
        <w:rPr>
          <w:rtl w:val="0"/>
        </w:rPr>
      </w:r>
    </w:p>
    <w:p w:rsidR="00000000" w:rsidDel="00000000" w:rsidP="00000000" w:rsidRDefault="00000000" w:rsidRPr="00000000" w14:paraId="0000005D">
      <w:pPr>
        <w:pStyle w:val="Heading1"/>
        <w:keepNext w:val="1"/>
        <w:keepLines w:val="1"/>
        <w:spacing w:after="200" w:before="480" w:line="240" w:lineRule="auto"/>
        <w:rPr>
          <w:sz w:val="28"/>
          <w:szCs w:val="28"/>
          <w:vertAlign w:val="baseline"/>
        </w:rPr>
      </w:pPr>
      <w:bookmarkStart w:colFirst="0" w:colLast="0" w:name="_heading=h.lnxbz9" w:id="14"/>
      <w:bookmarkEnd w:id="14"/>
      <w:r w:rsidDel="00000000" w:rsidR="00000000" w:rsidRPr="00000000">
        <w:rPr>
          <w:sz w:val="28"/>
          <w:szCs w:val="28"/>
          <w:vertAlign w:val="baseline"/>
          <w:rtl w:val="0"/>
        </w:rPr>
        <w:t xml:space="preserve">2. Bibliografía</w:t>
      </w:r>
    </w:p>
    <w:p w:rsidR="00000000" w:rsidDel="00000000" w:rsidP="00000000" w:rsidRDefault="00000000" w:rsidRPr="00000000" w14:paraId="0000005E">
      <w:pPr>
        <w:spacing w:after="200" w:line="240" w:lineRule="auto"/>
        <w:ind w:left="720.0000000000001" w:hanging="720.0000000000001"/>
        <w:jc w:val="both"/>
        <w:rPr>
          <w:sz w:val="20"/>
          <w:szCs w:val="20"/>
        </w:rPr>
      </w:pPr>
      <w:r w:rsidDel="00000000" w:rsidR="00000000" w:rsidRPr="00000000">
        <w:rPr>
          <w:b w:val="1"/>
          <w:sz w:val="20"/>
          <w:szCs w:val="20"/>
          <w:rtl w:val="0"/>
        </w:rPr>
        <w:t xml:space="preserve">Bermudez-Cardona, M.; Cruz M. F. &amp; Rodríguez</w:t>
      </w:r>
      <w:r w:rsidDel="00000000" w:rsidR="00000000" w:rsidRPr="00000000">
        <w:rPr>
          <w:sz w:val="20"/>
          <w:szCs w:val="20"/>
          <w:rtl w:val="0"/>
        </w:rPr>
        <w:t xml:space="preserve">, F. 2016. </w:t>
      </w:r>
      <w:r w:rsidDel="00000000" w:rsidR="00000000" w:rsidRPr="00000000">
        <w:rPr>
          <w:i w:val="1"/>
          <w:sz w:val="20"/>
          <w:szCs w:val="20"/>
          <w:rtl w:val="0"/>
        </w:rPr>
        <w:t xml:space="preserve">Microscopic study of the Stenocarpella macrospora infection process on maize leaves</w:t>
      </w:r>
      <w:r w:rsidDel="00000000" w:rsidR="00000000" w:rsidRPr="00000000">
        <w:rPr>
          <w:sz w:val="20"/>
          <w:szCs w:val="20"/>
          <w:rtl w:val="0"/>
        </w:rPr>
        <w:t xml:space="preserve">. Disponible en: </w:t>
      </w:r>
      <w:hyperlink r:id="rId8">
        <w:r w:rsidDel="00000000" w:rsidR="00000000" w:rsidRPr="00000000">
          <w:rPr>
            <w:color w:val="0000ff"/>
            <w:sz w:val="20"/>
            <w:szCs w:val="20"/>
            <w:u w:val="single"/>
            <w:rtl w:val="0"/>
          </w:rPr>
          <w:t xml:space="preserve">https://link.springer.com/article/10.1007/s40858-016-0079-3</w:t>
        </w:r>
      </w:hyperlink>
      <w:r w:rsidDel="00000000" w:rsidR="00000000" w:rsidRPr="00000000">
        <w:rPr>
          <w:rtl w:val="0"/>
        </w:rPr>
      </w:r>
    </w:p>
    <w:p w:rsidR="00000000" w:rsidDel="00000000" w:rsidP="00000000" w:rsidRDefault="00000000" w:rsidRPr="00000000" w14:paraId="0000005F">
      <w:pPr>
        <w:spacing w:after="200" w:line="240" w:lineRule="auto"/>
        <w:ind w:left="720.0000000000001" w:hanging="720.0000000000001"/>
        <w:jc w:val="both"/>
        <w:rPr>
          <w:sz w:val="20"/>
          <w:szCs w:val="20"/>
        </w:rPr>
      </w:pPr>
      <w:r w:rsidDel="00000000" w:rsidR="00000000" w:rsidRPr="00000000">
        <w:rPr>
          <w:b w:val="1"/>
          <w:sz w:val="20"/>
          <w:szCs w:val="20"/>
          <w:rtl w:val="0"/>
        </w:rPr>
        <w:t xml:space="preserve">Casa, R.T.; Reis, E.M.; Zambolim, L.</w:t>
      </w:r>
      <w:r w:rsidDel="00000000" w:rsidR="00000000" w:rsidRPr="00000000">
        <w:rPr>
          <w:sz w:val="20"/>
          <w:szCs w:val="20"/>
          <w:rtl w:val="0"/>
        </w:rPr>
        <w:t xml:space="preserve"> 2003. </w:t>
      </w:r>
      <w:r w:rsidDel="00000000" w:rsidR="00000000" w:rsidRPr="00000000">
        <w:rPr>
          <w:i w:val="1"/>
          <w:sz w:val="20"/>
          <w:szCs w:val="20"/>
          <w:rtl w:val="0"/>
        </w:rPr>
        <w:t xml:space="preserve">Decomposição dos restos culturais do milho e sobrevivência saprofítica de Stenocarpella macrospora e S. maydis</w:t>
      </w:r>
      <w:r w:rsidDel="00000000" w:rsidR="00000000" w:rsidRPr="00000000">
        <w:rPr>
          <w:sz w:val="20"/>
          <w:szCs w:val="20"/>
          <w:rtl w:val="0"/>
        </w:rPr>
        <w:t xml:space="preserve">. Fitopatologia Brasileira, v.28, n.4, p.355-361. </w:t>
      </w:r>
      <w:hyperlink r:id="rId9">
        <w:r w:rsidDel="00000000" w:rsidR="00000000" w:rsidRPr="00000000">
          <w:rPr>
            <w:color w:val="0000ff"/>
            <w:sz w:val="20"/>
            <w:szCs w:val="20"/>
            <w:u w:val="single"/>
            <w:rtl w:val="0"/>
          </w:rPr>
          <w:t xml:space="preserve">http://www.scielo.br/pdf/fb/v28n4/17007.pdf</w:t>
        </w:r>
      </w:hyperlink>
      <w:r w:rsidDel="00000000" w:rsidR="00000000" w:rsidRPr="00000000">
        <w:rPr>
          <w:sz w:val="20"/>
          <w:szCs w:val="20"/>
          <w:rtl w:val="0"/>
        </w:rPr>
        <w:t xml:space="preserve"> </w:t>
      </w:r>
    </w:p>
    <w:p w:rsidR="00000000" w:rsidDel="00000000" w:rsidP="00000000" w:rsidRDefault="00000000" w:rsidRPr="00000000" w14:paraId="00000060">
      <w:pPr>
        <w:spacing w:after="200" w:line="240" w:lineRule="auto"/>
        <w:ind w:left="720.0000000000001" w:hanging="720.0000000000001"/>
        <w:jc w:val="both"/>
        <w:rPr>
          <w:sz w:val="20"/>
          <w:szCs w:val="20"/>
        </w:rPr>
      </w:pPr>
      <w:r w:rsidDel="00000000" w:rsidR="00000000" w:rsidRPr="00000000">
        <w:rPr>
          <w:b w:val="1"/>
          <w:sz w:val="20"/>
          <w:szCs w:val="20"/>
          <w:rtl w:val="0"/>
        </w:rPr>
        <w:t xml:space="preserve">Da Silva Siqueira, C.; Da Cruz Machado, J.; Barrocas, E.  &amp; Figueiro De Almeida, M.</w:t>
      </w:r>
      <w:r w:rsidDel="00000000" w:rsidR="00000000" w:rsidRPr="00000000">
        <w:rPr>
          <w:sz w:val="20"/>
          <w:szCs w:val="20"/>
          <w:rtl w:val="0"/>
        </w:rPr>
        <w:t xml:space="preserve"> 2014. </w:t>
      </w:r>
      <w:r w:rsidDel="00000000" w:rsidR="00000000" w:rsidRPr="00000000">
        <w:rPr>
          <w:i w:val="1"/>
          <w:sz w:val="20"/>
          <w:szCs w:val="20"/>
          <w:rtl w:val="0"/>
        </w:rPr>
        <w:t xml:space="preserve">Potencial de transmissão de Stenocarpella macrospora de sementes inoculadas para plantas de milho cultivadas em condições controladas</w:t>
      </w:r>
      <w:r w:rsidDel="00000000" w:rsidR="00000000" w:rsidRPr="00000000">
        <w:rPr>
          <w:sz w:val="20"/>
          <w:szCs w:val="20"/>
          <w:rtl w:val="0"/>
        </w:rPr>
        <w:t xml:space="preserve">. Disponible en: </w:t>
      </w:r>
      <w:hyperlink r:id="rId10">
        <w:r w:rsidDel="00000000" w:rsidR="00000000" w:rsidRPr="00000000">
          <w:rPr>
            <w:color w:val="0000ff"/>
            <w:sz w:val="20"/>
            <w:szCs w:val="20"/>
            <w:u w:val="single"/>
            <w:rtl w:val="0"/>
          </w:rPr>
          <w:t xml:space="preserve">https://www.scielo.br/j/jss/a/LzR4YNwLfKNGxKxfzWKLB6C/?lang=en</w:t>
        </w:r>
      </w:hyperlink>
      <w:r w:rsidDel="00000000" w:rsidR="00000000" w:rsidRPr="00000000">
        <w:rPr>
          <w:sz w:val="20"/>
          <w:szCs w:val="20"/>
          <w:rtl w:val="0"/>
        </w:rPr>
        <w:t xml:space="preserve">. 8 p.</w:t>
      </w:r>
    </w:p>
    <w:p w:rsidR="00000000" w:rsidDel="00000000" w:rsidP="00000000" w:rsidRDefault="00000000" w:rsidRPr="00000000" w14:paraId="00000061">
      <w:pPr>
        <w:spacing w:after="200" w:line="240" w:lineRule="auto"/>
        <w:ind w:left="720.0000000000001" w:hanging="720.0000000000001"/>
        <w:jc w:val="both"/>
        <w:rPr>
          <w:sz w:val="20"/>
          <w:szCs w:val="20"/>
        </w:rPr>
      </w:pPr>
      <w:r w:rsidDel="00000000" w:rsidR="00000000" w:rsidRPr="00000000">
        <w:rPr>
          <w:b w:val="1"/>
          <w:sz w:val="20"/>
          <w:szCs w:val="20"/>
          <w:rtl w:val="0"/>
        </w:rPr>
        <w:t xml:space="preserve">De Rossi, R.; Giménez P.; Guerra, F.; Plaza, M.; Brücher, E.; Guerra G.; Torrico A.; Camiletti, B.; Maurino M.; Barontini, J.; Ferrer M.; Lucini E. &amp; Laguna, L.</w:t>
      </w:r>
      <w:r w:rsidDel="00000000" w:rsidR="00000000" w:rsidRPr="00000000">
        <w:rPr>
          <w:sz w:val="20"/>
          <w:szCs w:val="20"/>
          <w:rtl w:val="0"/>
        </w:rPr>
        <w:t xml:space="preserve"> 2016. El mismo maíz, un nuevo desafío: Compendio primer congreso de maíz tardío. Capítulo 09: Enfermedades del maíz de siembra tardía causadas por hongos. Disponible en: </w:t>
      </w:r>
      <w:hyperlink r:id="rId11">
        <w:r w:rsidDel="00000000" w:rsidR="00000000" w:rsidRPr="00000000">
          <w:rPr>
            <w:color w:val="0000ff"/>
            <w:sz w:val="20"/>
            <w:szCs w:val="20"/>
            <w:u w:val="single"/>
            <w:rtl w:val="0"/>
          </w:rPr>
          <w:t xml:space="preserve">http://pa.bibdigital.uccor.edu.ar/2259/1/CL_DeRossi_Gimenez_Guerra.pdf</w:t>
        </w:r>
      </w:hyperlink>
      <w:r w:rsidDel="00000000" w:rsidR="00000000" w:rsidRPr="00000000">
        <w:rPr>
          <w:sz w:val="20"/>
          <w:szCs w:val="20"/>
          <w:rtl w:val="0"/>
        </w:rPr>
        <w:t xml:space="preserve">.4p.</w:t>
      </w:r>
    </w:p>
    <w:p w:rsidR="00000000" w:rsidDel="00000000" w:rsidP="00000000" w:rsidRDefault="00000000" w:rsidRPr="00000000" w14:paraId="00000062">
      <w:pPr>
        <w:spacing w:after="200" w:line="240" w:lineRule="auto"/>
        <w:ind w:left="720.0000000000001" w:hanging="720.0000000000001"/>
        <w:jc w:val="both"/>
        <w:rPr>
          <w:sz w:val="20"/>
          <w:szCs w:val="20"/>
        </w:rPr>
      </w:pPr>
      <w:r w:rsidDel="00000000" w:rsidR="00000000" w:rsidRPr="00000000">
        <w:rPr>
          <w:b w:val="1"/>
          <w:sz w:val="20"/>
          <w:szCs w:val="20"/>
          <w:rtl w:val="0"/>
        </w:rPr>
        <w:t xml:space="preserve">European and Mediterranean Plan Protection Organization (EPPO)</w:t>
      </w:r>
      <w:r w:rsidDel="00000000" w:rsidR="00000000" w:rsidRPr="00000000">
        <w:rPr>
          <w:sz w:val="20"/>
          <w:szCs w:val="20"/>
          <w:rtl w:val="0"/>
        </w:rPr>
        <w:t xml:space="preserve">. </w:t>
      </w:r>
      <w:r w:rsidDel="00000000" w:rsidR="00000000" w:rsidRPr="00000000">
        <w:rPr>
          <w:i w:val="1"/>
          <w:sz w:val="20"/>
          <w:szCs w:val="20"/>
          <w:rtl w:val="0"/>
        </w:rPr>
        <w:t xml:space="preserve">Data Sheets on Quarantine Pests – Stenocarpella macrospora and Stenocarpella maydis</w:t>
      </w:r>
      <w:r w:rsidDel="00000000" w:rsidR="00000000" w:rsidRPr="00000000">
        <w:rPr>
          <w:sz w:val="20"/>
          <w:szCs w:val="20"/>
          <w:rtl w:val="0"/>
        </w:rPr>
        <w:t xml:space="preserve">. Disponible en: </w:t>
      </w:r>
      <w:hyperlink r:id="rId12">
        <w:r w:rsidDel="00000000" w:rsidR="00000000" w:rsidRPr="00000000">
          <w:rPr>
            <w:color w:val="0000ff"/>
            <w:sz w:val="20"/>
            <w:szCs w:val="20"/>
            <w:u w:val="single"/>
            <w:rtl w:val="0"/>
          </w:rPr>
          <w:t xml:space="preserve">https://gd.eppo.int/download/doc/639_ds_DIPDMA_en.pdf</w:t>
        </w:r>
      </w:hyperlink>
      <w:r w:rsidDel="00000000" w:rsidR="00000000" w:rsidRPr="00000000">
        <w:rPr>
          <w:sz w:val="20"/>
          <w:szCs w:val="20"/>
          <w:rtl w:val="0"/>
        </w:rPr>
        <w:t xml:space="preserve"> (última consulta, 17 de agosto de 2022).</w:t>
      </w:r>
    </w:p>
    <w:p w:rsidR="00000000" w:rsidDel="00000000" w:rsidP="00000000" w:rsidRDefault="00000000" w:rsidRPr="00000000" w14:paraId="00000063">
      <w:pPr>
        <w:spacing w:after="200" w:line="240" w:lineRule="auto"/>
        <w:ind w:left="720.0000000000001" w:hanging="720.0000000000001"/>
        <w:jc w:val="both"/>
        <w:rPr>
          <w:sz w:val="20"/>
          <w:szCs w:val="20"/>
        </w:rPr>
      </w:pPr>
      <w:r w:rsidDel="00000000" w:rsidR="00000000" w:rsidRPr="00000000">
        <w:rPr>
          <w:b w:val="1"/>
          <w:sz w:val="20"/>
          <w:szCs w:val="20"/>
          <w:rtl w:val="0"/>
        </w:rPr>
        <w:t xml:space="preserve">Mário, J.; Gozuen, C. &amp; Juliatti, F.</w:t>
      </w:r>
      <w:r w:rsidDel="00000000" w:rsidR="00000000" w:rsidRPr="00000000">
        <w:rPr>
          <w:sz w:val="20"/>
          <w:szCs w:val="20"/>
          <w:rtl w:val="0"/>
        </w:rPr>
        <w:t xml:space="preserve"> 2017</w:t>
      </w:r>
      <w:r w:rsidDel="00000000" w:rsidR="00000000" w:rsidRPr="00000000">
        <w:rPr>
          <w:i w:val="1"/>
          <w:sz w:val="20"/>
          <w:szCs w:val="20"/>
          <w:rtl w:val="0"/>
        </w:rPr>
        <w:t xml:space="preserve">. Stenocarpella macrospora and Stenocarpella maydis in the Cerrado and Southern Brazil Regions</w:t>
      </w:r>
      <w:r w:rsidDel="00000000" w:rsidR="00000000" w:rsidRPr="00000000">
        <w:rPr>
          <w:sz w:val="20"/>
          <w:szCs w:val="20"/>
          <w:rtl w:val="0"/>
        </w:rPr>
        <w:t xml:space="preserve">. Project: Manejo Integrado de doenças do milho - Maize crop and integrated diseases management. Disponible en: </w:t>
      </w:r>
      <w:hyperlink r:id="rId13">
        <w:r w:rsidDel="00000000" w:rsidR="00000000" w:rsidRPr="00000000">
          <w:rPr>
            <w:color w:val="0000ff"/>
            <w:sz w:val="20"/>
            <w:szCs w:val="20"/>
            <w:u w:val="single"/>
            <w:rtl w:val="0"/>
          </w:rPr>
          <w:t xml:space="preserve">https://www.researchgate.net/publication/313540737_Stenocarpella_macrospora_and_Stenocarpella_maydis_in_the_cerrado_and_southern_Brazil_regions</w:t>
        </w:r>
      </w:hyperlink>
      <w:r w:rsidDel="00000000" w:rsidR="00000000" w:rsidRPr="00000000">
        <w:rPr>
          <w:sz w:val="20"/>
          <w:szCs w:val="20"/>
          <w:rtl w:val="0"/>
        </w:rPr>
        <w:t xml:space="preserve">.</w:t>
      </w:r>
    </w:p>
    <w:p w:rsidR="00000000" w:rsidDel="00000000" w:rsidP="00000000" w:rsidRDefault="00000000" w:rsidRPr="00000000" w14:paraId="00000064">
      <w:pPr>
        <w:spacing w:after="200" w:line="240" w:lineRule="auto"/>
        <w:ind w:left="720.0000000000001" w:hanging="720.0000000000001"/>
        <w:jc w:val="both"/>
        <w:rPr>
          <w:sz w:val="20"/>
          <w:szCs w:val="20"/>
        </w:rPr>
      </w:pPr>
      <w:r w:rsidDel="00000000" w:rsidR="00000000" w:rsidRPr="00000000">
        <w:rPr>
          <w:b w:val="1"/>
          <w:sz w:val="20"/>
          <w:szCs w:val="20"/>
          <w:rtl w:val="0"/>
        </w:rPr>
        <w:t xml:space="preserve">Romero, M. &amp; Wise, K.</w:t>
      </w:r>
      <w:r w:rsidDel="00000000" w:rsidR="00000000" w:rsidRPr="00000000">
        <w:rPr>
          <w:sz w:val="20"/>
          <w:szCs w:val="20"/>
          <w:rtl w:val="0"/>
        </w:rPr>
        <w:t xml:space="preserve"> 2015. </w:t>
      </w:r>
      <w:r w:rsidDel="00000000" w:rsidR="00000000" w:rsidRPr="00000000">
        <w:rPr>
          <w:i w:val="1"/>
          <w:sz w:val="20"/>
          <w:szCs w:val="20"/>
          <w:rtl w:val="0"/>
        </w:rPr>
        <w:t xml:space="preserve">Development of Molecular Assays for Detection of S Stenocarpella maydis and Stenocarpella macrospora in Corn</w:t>
      </w:r>
      <w:r w:rsidDel="00000000" w:rsidR="00000000" w:rsidRPr="00000000">
        <w:rPr>
          <w:sz w:val="20"/>
          <w:szCs w:val="20"/>
          <w:rtl w:val="0"/>
        </w:rPr>
        <w:t xml:space="preserve">. Disponible en: </w:t>
      </w:r>
      <w:hyperlink r:id="rId14">
        <w:r w:rsidDel="00000000" w:rsidR="00000000" w:rsidRPr="00000000">
          <w:rPr>
            <w:color w:val="0000ff"/>
            <w:sz w:val="20"/>
            <w:szCs w:val="20"/>
            <w:u w:val="single"/>
            <w:rtl w:val="0"/>
          </w:rPr>
          <w:t xml:space="preserve">https://apsjournals.apsnet.org/doi/full/10.1094/PDIS-09-14-0917-RE</w:t>
        </w:r>
      </w:hyperlink>
      <w:r w:rsidDel="00000000" w:rsidR="00000000" w:rsidRPr="00000000">
        <w:rPr>
          <w:sz w:val="20"/>
          <w:szCs w:val="20"/>
          <w:rtl w:val="0"/>
        </w:rPr>
        <w:t xml:space="preserve">.</w:t>
      </w:r>
    </w:p>
    <w:p w:rsidR="00000000" w:rsidDel="00000000" w:rsidP="00000000" w:rsidRDefault="00000000" w:rsidRPr="00000000" w14:paraId="00000065">
      <w:pPr>
        <w:spacing w:after="200" w:line="240" w:lineRule="auto"/>
        <w:ind w:left="720.0000000000001" w:hanging="720.0000000000001"/>
        <w:jc w:val="both"/>
        <w:rPr>
          <w:sz w:val="20"/>
          <w:szCs w:val="20"/>
        </w:rPr>
      </w:pPr>
      <w:r w:rsidDel="00000000" w:rsidR="00000000" w:rsidRPr="00000000">
        <w:rPr>
          <w:b w:val="1"/>
          <w:sz w:val="20"/>
          <w:szCs w:val="20"/>
          <w:rtl w:val="0"/>
        </w:rPr>
        <w:t xml:space="preserve">Wise, K.; Mehl, K. &amp; Bradley, C.</w:t>
      </w:r>
      <w:r w:rsidDel="00000000" w:rsidR="00000000" w:rsidRPr="00000000">
        <w:rPr>
          <w:sz w:val="20"/>
          <w:szCs w:val="20"/>
          <w:rtl w:val="0"/>
        </w:rPr>
        <w:t xml:space="preserve"> 2017. </w:t>
      </w:r>
      <w:r w:rsidDel="00000000" w:rsidR="00000000" w:rsidRPr="00000000">
        <w:rPr>
          <w:i w:val="1"/>
          <w:sz w:val="20"/>
          <w:szCs w:val="20"/>
          <w:rtl w:val="0"/>
        </w:rPr>
        <w:t xml:space="preserve">Diplodia Ear Rot. University of Kentucky, College of Agriculture, Food &amp; Environment</w:t>
      </w:r>
      <w:r w:rsidDel="00000000" w:rsidR="00000000" w:rsidRPr="00000000">
        <w:rPr>
          <w:sz w:val="20"/>
          <w:szCs w:val="20"/>
          <w:rtl w:val="0"/>
        </w:rPr>
        <w:t xml:space="preserve">. Disponible en: </w:t>
      </w:r>
      <w:hyperlink r:id="rId15">
        <w:r w:rsidDel="00000000" w:rsidR="00000000" w:rsidRPr="00000000">
          <w:rPr>
            <w:color w:val="0000ff"/>
            <w:sz w:val="20"/>
            <w:szCs w:val="20"/>
            <w:u w:val="single"/>
            <w:rtl w:val="0"/>
          </w:rPr>
          <w:t xml:space="preserve">http://plantpathology.ca.uky.edu/files/ppfs-ag-c-05.pdf</w:t>
        </w:r>
      </w:hyperlink>
      <w:r w:rsidDel="00000000" w:rsidR="00000000" w:rsidRPr="00000000">
        <w:rPr>
          <w:sz w:val="20"/>
          <w:szCs w:val="20"/>
          <w:rtl w:val="0"/>
        </w:rPr>
        <w:t xml:space="preserve">. 3 p.</w:t>
      </w:r>
    </w:p>
    <w:p w:rsidR="00000000" w:rsidDel="00000000" w:rsidP="00000000" w:rsidRDefault="00000000" w:rsidRPr="00000000" w14:paraId="00000066">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snw75ohf7sta" w:id="15"/>
      <w:bookmarkEnd w:id="15"/>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48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gknroxn9alg5" w:id="16"/>
      <w:bookmarkEnd w:id="16"/>
      <w:r w:rsidDel="00000000" w:rsidR="00000000" w:rsidRPr="00000000">
        <w:rPr>
          <w:b w:val="1"/>
          <w:sz w:val="28"/>
          <w:szCs w:val="28"/>
          <w:rtl w:val="0"/>
        </w:rPr>
        <w:t xml:space="preserve">3</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Anexo: Figuras</w:t>
      </w:r>
    </w:p>
    <w:p w:rsidR="00000000" w:rsidDel="00000000" w:rsidP="00000000" w:rsidRDefault="00000000" w:rsidRPr="00000000" w14:paraId="00000068">
      <w:pPr>
        <w:spacing w:line="240" w:lineRule="auto"/>
        <w:jc w:val="center"/>
        <w:rPr>
          <w:b w:val="1"/>
          <w:color w:val="000000"/>
          <w:sz w:val="24"/>
          <w:szCs w:val="24"/>
        </w:rPr>
      </w:pPr>
      <w:r w:rsidDel="00000000" w:rsidR="00000000" w:rsidRPr="00000000">
        <w:rPr/>
        <w:drawing>
          <wp:inline distB="0" distT="0" distL="0" distR="0">
            <wp:extent cx="3476625" cy="3339068"/>
            <wp:effectExtent b="0" l="0" r="0" t="0"/>
            <wp:docPr descr="Un maíz con un cuchillo  Descripción generada automáticamente con confianza baja" id="24" name="image4.png"/>
            <a:graphic>
              <a:graphicData uri="http://schemas.openxmlformats.org/drawingml/2006/picture">
                <pic:pic>
                  <pic:nvPicPr>
                    <pic:cNvPr descr="Un maíz con un cuchillo  Descripción generada automáticamente con confianza baja" id="0" name="image4.png"/>
                    <pic:cNvPicPr preferRelativeResize="0"/>
                  </pic:nvPicPr>
                  <pic:blipFill>
                    <a:blip r:embed="rId16"/>
                    <a:srcRect b="1098" l="0" r="0" t="12183"/>
                    <a:stretch>
                      <a:fillRect/>
                    </a:stretch>
                  </pic:blipFill>
                  <pic:spPr>
                    <a:xfrm>
                      <a:off x="0" y="0"/>
                      <a:ext cx="3476625" cy="3339068"/>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both"/>
        <w:rPr>
          <w:sz w:val="20"/>
          <w:szCs w:val="20"/>
        </w:rPr>
      </w:pPr>
      <w:r w:rsidDel="00000000" w:rsidR="00000000" w:rsidRPr="00000000">
        <w:rPr>
          <w:b w:val="1"/>
          <w:sz w:val="20"/>
          <w:szCs w:val="20"/>
          <w:rtl w:val="0"/>
        </w:rPr>
        <w:t xml:space="preserve">Figura 1: </w:t>
      </w:r>
      <w:r w:rsidDel="00000000" w:rsidR="00000000" w:rsidRPr="00000000">
        <w:rPr>
          <w:sz w:val="20"/>
          <w:szCs w:val="20"/>
          <w:rtl w:val="0"/>
        </w:rPr>
        <w:t xml:space="preserve">Podredumbre de espigas producidas por </w:t>
      </w:r>
      <w:r w:rsidDel="00000000" w:rsidR="00000000" w:rsidRPr="00000000">
        <w:rPr>
          <w:i w:val="1"/>
          <w:sz w:val="20"/>
          <w:szCs w:val="20"/>
          <w:rtl w:val="0"/>
        </w:rPr>
        <w:t xml:space="preserve">Stenocarpella macrospora</w:t>
      </w:r>
      <w:r w:rsidDel="00000000" w:rsidR="00000000" w:rsidRPr="00000000">
        <w:rPr>
          <w:sz w:val="20"/>
          <w:szCs w:val="20"/>
          <w:rtl w:val="0"/>
        </w:rPr>
        <w:t xml:space="preserve"> (CABI Plantwise).</w:t>
      </w:r>
    </w:p>
    <w:p w:rsidR="00000000" w:rsidDel="00000000" w:rsidP="00000000" w:rsidRDefault="00000000" w:rsidRPr="00000000" w14:paraId="0000006A">
      <w:pPr>
        <w:spacing w:line="240" w:lineRule="auto"/>
        <w:rPr>
          <w:b w:val="1"/>
          <w:sz w:val="24"/>
          <w:szCs w:val="24"/>
        </w:rPr>
      </w:pPr>
      <w:r w:rsidDel="00000000" w:rsidR="00000000" w:rsidRPr="00000000">
        <w:rPr>
          <w:rtl w:val="0"/>
        </w:rPr>
      </w:r>
    </w:p>
    <w:p w:rsidR="00000000" w:rsidDel="00000000" w:rsidP="00000000" w:rsidRDefault="00000000" w:rsidRPr="00000000" w14:paraId="0000006B">
      <w:pPr>
        <w:spacing w:line="240" w:lineRule="auto"/>
        <w:rPr>
          <w:b w:val="1"/>
          <w:sz w:val="24"/>
          <w:szCs w:val="24"/>
        </w:rPr>
      </w:pPr>
      <w:r w:rsidDel="00000000" w:rsidR="00000000" w:rsidRPr="00000000">
        <w:rPr>
          <w:rtl w:val="0"/>
        </w:rPr>
      </w:r>
    </w:p>
    <w:p w:rsidR="00000000" w:rsidDel="00000000" w:rsidP="00000000" w:rsidRDefault="00000000" w:rsidRPr="00000000" w14:paraId="0000006C">
      <w:pPr>
        <w:spacing w:line="240" w:lineRule="auto"/>
        <w:jc w:val="center"/>
        <w:rPr>
          <w:sz w:val="24"/>
          <w:szCs w:val="24"/>
        </w:rPr>
      </w:pPr>
      <w:r w:rsidDel="00000000" w:rsidR="00000000" w:rsidRPr="00000000">
        <w:rPr/>
        <w:drawing>
          <wp:inline distB="0" distT="0" distL="0" distR="0">
            <wp:extent cx="2184566" cy="3509631"/>
            <wp:effectExtent b="0" l="0" r="0" t="0"/>
            <wp:docPr descr="Error loading image." id="23" name="image3.jpg"/>
            <a:graphic>
              <a:graphicData uri="http://schemas.openxmlformats.org/drawingml/2006/picture">
                <pic:pic>
                  <pic:nvPicPr>
                    <pic:cNvPr descr="Error loading image." id="0" name="image3.jpg"/>
                    <pic:cNvPicPr preferRelativeResize="0"/>
                  </pic:nvPicPr>
                  <pic:blipFill>
                    <a:blip r:embed="rId17"/>
                    <a:srcRect b="0" l="0" r="0" t="0"/>
                    <a:stretch>
                      <a:fillRect/>
                    </a:stretch>
                  </pic:blipFill>
                  <pic:spPr>
                    <a:xfrm>
                      <a:off x="0" y="0"/>
                      <a:ext cx="2184566" cy="3509631"/>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40" w:lineRule="auto"/>
        <w:rPr>
          <w:sz w:val="20"/>
          <w:szCs w:val="20"/>
        </w:rPr>
      </w:pPr>
      <w:r w:rsidDel="00000000" w:rsidR="00000000" w:rsidRPr="00000000">
        <w:rPr>
          <w:b w:val="1"/>
          <w:sz w:val="20"/>
          <w:szCs w:val="20"/>
          <w:rtl w:val="0"/>
        </w:rPr>
        <w:t xml:space="preserve">Figura 2: </w:t>
      </w:r>
      <w:r w:rsidDel="00000000" w:rsidR="00000000" w:rsidRPr="00000000">
        <w:rPr>
          <w:sz w:val="20"/>
          <w:szCs w:val="20"/>
          <w:rtl w:val="0"/>
        </w:rPr>
        <w:t xml:space="preserve">Manchas de color marrón producidas en los entrenudos basales, por </w:t>
      </w:r>
      <w:r w:rsidDel="00000000" w:rsidR="00000000" w:rsidRPr="00000000">
        <w:rPr>
          <w:i w:val="1"/>
          <w:sz w:val="20"/>
          <w:szCs w:val="20"/>
          <w:rtl w:val="0"/>
        </w:rPr>
        <w:t xml:space="preserve">Stenocarpella macrospora</w:t>
      </w:r>
      <w:r w:rsidDel="00000000" w:rsidR="00000000" w:rsidRPr="00000000">
        <w:rPr>
          <w:sz w:val="20"/>
          <w:szCs w:val="20"/>
          <w:rtl w:val="0"/>
        </w:rPr>
        <w:t xml:space="preserve"> (CABI Plantwise).</w:t>
      </w:r>
    </w:p>
    <w:p w:rsidR="00000000" w:rsidDel="00000000" w:rsidP="00000000" w:rsidRDefault="00000000" w:rsidRPr="00000000" w14:paraId="0000006E">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F">
      <w:pPr>
        <w:spacing w:line="240" w:lineRule="auto"/>
        <w:jc w:val="center"/>
        <w:rPr/>
      </w:pPr>
      <w:r w:rsidDel="00000000" w:rsidR="00000000" w:rsidRPr="00000000">
        <w:rPr/>
        <w:drawing>
          <wp:inline distB="0" distT="0" distL="0" distR="0">
            <wp:extent cx="2464464" cy="4163370"/>
            <wp:effectExtent b="0" l="0" r="0" t="0"/>
            <wp:docPr descr="Error loading image." id="26" name="image7.jpg"/>
            <a:graphic>
              <a:graphicData uri="http://schemas.openxmlformats.org/drawingml/2006/picture">
                <pic:pic>
                  <pic:nvPicPr>
                    <pic:cNvPr descr="Error loading image." id="0" name="image7.jpg"/>
                    <pic:cNvPicPr preferRelativeResize="0"/>
                  </pic:nvPicPr>
                  <pic:blipFill>
                    <a:blip r:embed="rId18"/>
                    <a:srcRect b="0" l="0" r="0" t="0"/>
                    <a:stretch>
                      <a:fillRect/>
                    </a:stretch>
                  </pic:blipFill>
                  <pic:spPr>
                    <a:xfrm rot="16200000">
                      <a:off x="0" y="0"/>
                      <a:ext cx="2464464" cy="416337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40" w:lineRule="auto"/>
        <w:jc w:val="both"/>
        <w:rPr>
          <w:sz w:val="20"/>
          <w:szCs w:val="20"/>
        </w:rPr>
      </w:pPr>
      <w:r w:rsidDel="00000000" w:rsidR="00000000" w:rsidRPr="00000000">
        <w:rPr>
          <w:b w:val="1"/>
          <w:sz w:val="20"/>
          <w:szCs w:val="20"/>
          <w:rtl w:val="0"/>
        </w:rPr>
        <w:t xml:space="preserve">Figura 3: </w:t>
      </w:r>
      <w:r w:rsidDel="00000000" w:rsidR="00000000" w:rsidRPr="00000000">
        <w:rPr>
          <w:sz w:val="20"/>
          <w:szCs w:val="20"/>
          <w:rtl w:val="0"/>
        </w:rPr>
        <w:t xml:space="preserve">Manchas necróticas rodeadas de halo clorótico en hojas de maíz, producidas por </w:t>
      </w:r>
      <w:r w:rsidDel="00000000" w:rsidR="00000000" w:rsidRPr="00000000">
        <w:rPr>
          <w:i w:val="1"/>
          <w:sz w:val="20"/>
          <w:szCs w:val="20"/>
          <w:rtl w:val="0"/>
        </w:rPr>
        <w:t xml:space="preserve">Stenocarpella macrospora</w:t>
      </w:r>
      <w:r w:rsidDel="00000000" w:rsidR="00000000" w:rsidRPr="00000000">
        <w:rPr>
          <w:sz w:val="20"/>
          <w:szCs w:val="20"/>
          <w:rtl w:val="0"/>
        </w:rPr>
        <w:t xml:space="preserve"> (Fuente: CABI Plantwise).</w:t>
      </w:r>
    </w:p>
    <w:p w:rsidR="00000000" w:rsidDel="00000000" w:rsidP="00000000" w:rsidRDefault="00000000" w:rsidRPr="00000000" w14:paraId="00000071">
      <w:pPr>
        <w:spacing w:line="240" w:lineRule="auto"/>
        <w:jc w:val="center"/>
        <w:rPr/>
      </w:pPr>
      <w:r w:rsidDel="00000000" w:rsidR="00000000" w:rsidRPr="00000000">
        <w:rPr>
          <w:rtl w:val="0"/>
        </w:rPr>
      </w:r>
    </w:p>
    <w:p w:rsidR="00000000" w:rsidDel="00000000" w:rsidP="00000000" w:rsidRDefault="00000000" w:rsidRPr="00000000" w14:paraId="00000072">
      <w:pPr>
        <w:spacing w:line="240" w:lineRule="auto"/>
        <w:jc w:val="center"/>
        <w:rPr>
          <w:sz w:val="24"/>
          <w:szCs w:val="24"/>
        </w:rPr>
      </w:pPr>
      <w:r w:rsidDel="00000000" w:rsidR="00000000" w:rsidRPr="00000000">
        <w:rPr>
          <w:rtl w:val="0"/>
        </w:rPr>
      </w:r>
    </w:p>
    <w:p w:rsidR="00000000" w:rsidDel="00000000" w:rsidP="00000000" w:rsidRDefault="00000000" w:rsidRPr="00000000" w14:paraId="00000073">
      <w:pPr>
        <w:spacing w:line="240" w:lineRule="auto"/>
        <w:jc w:val="center"/>
        <w:rPr>
          <w:sz w:val="24"/>
          <w:szCs w:val="24"/>
        </w:rPr>
      </w:pPr>
      <w:r w:rsidDel="00000000" w:rsidR="00000000" w:rsidRPr="00000000">
        <w:rPr>
          <w:rtl w:val="0"/>
        </w:rPr>
      </w:r>
    </w:p>
    <w:p w:rsidR="00000000" w:rsidDel="00000000" w:rsidP="00000000" w:rsidRDefault="00000000" w:rsidRPr="00000000" w14:paraId="00000074">
      <w:pPr>
        <w:spacing w:line="240" w:lineRule="auto"/>
        <w:jc w:val="center"/>
        <w:rPr>
          <w:sz w:val="24"/>
          <w:szCs w:val="24"/>
        </w:rPr>
      </w:pPr>
      <w:r w:rsidDel="00000000" w:rsidR="00000000" w:rsidRPr="00000000">
        <w:rPr/>
        <w:drawing>
          <wp:inline distB="0" distT="0" distL="0" distR="0">
            <wp:extent cx="2439997" cy="4491813"/>
            <wp:effectExtent b="0" l="0" r="0" t="0"/>
            <wp:docPr descr="Error loading image." id="25" name="image2.jpg"/>
            <a:graphic>
              <a:graphicData uri="http://schemas.openxmlformats.org/drawingml/2006/picture">
                <pic:pic>
                  <pic:nvPicPr>
                    <pic:cNvPr descr="Error loading image." id="0" name="image2.jpg"/>
                    <pic:cNvPicPr preferRelativeResize="0"/>
                  </pic:nvPicPr>
                  <pic:blipFill>
                    <a:blip r:embed="rId19"/>
                    <a:srcRect b="0" l="0" r="0" t="0"/>
                    <a:stretch>
                      <a:fillRect/>
                    </a:stretch>
                  </pic:blipFill>
                  <pic:spPr>
                    <a:xfrm rot="16200000">
                      <a:off x="0" y="0"/>
                      <a:ext cx="2439997" cy="4491813"/>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00" w:line="240" w:lineRule="auto"/>
        <w:rPr>
          <w:sz w:val="20"/>
          <w:szCs w:val="20"/>
        </w:rPr>
      </w:pPr>
      <w:r w:rsidDel="00000000" w:rsidR="00000000" w:rsidRPr="00000000">
        <w:rPr>
          <w:b w:val="1"/>
          <w:sz w:val="20"/>
          <w:szCs w:val="20"/>
          <w:rtl w:val="0"/>
        </w:rPr>
        <w:t xml:space="preserve">Figura 4:</w:t>
      </w:r>
      <w:r w:rsidDel="00000000" w:rsidR="00000000" w:rsidRPr="00000000">
        <w:rPr>
          <w:b w:val="1"/>
          <w:sz w:val="18"/>
          <w:szCs w:val="18"/>
          <w:rtl w:val="0"/>
        </w:rPr>
        <w:t xml:space="preserve"> </w:t>
      </w:r>
      <w:r w:rsidDel="00000000" w:rsidR="00000000" w:rsidRPr="00000000">
        <w:rPr>
          <w:sz w:val="20"/>
          <w:szCs w:val="20"/>
          <w:rtl w:val="0"/>
        </w:rPr>
        <w:t xml:space="preserve">Picnidios presentes sobre las lesiones que</w:t>
      </w:r>
      <w:r w:rsidDel="00000000" w:rsidR="00000000" w:rsidRPr="00000000">
        <w:rPr>
          <w:i w:val="1"/>
          <w:sz w:val="20"/>
          <w:szCs w:val="20"/>
          <w:rtl w:val="0"/>
        </w:rPr>
        <w:t xml:space="preserve"> Stenocarpella macrospora </w:t>
      </w:r>
      <w:r w:rsidDel="00000000" w:rsidR="00000000" w:rsidRPr="00000000">
        <w:rPr>
          <w:sz w:val="20"/>
          <w:szCs w:val="20"/>
          <w:rtl w:val="0"/>
        </w:rPr>
        <w:t xml:space="preserve">produce en las hojas de maíz (CABI Plantwise).</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00" w:line="240" w:lineRule="auto"/>
        <w:rPr>
          <w:sz w:val="24"/>
          <w:szCs w:val="24"/>
        </w:rPr>
      </w:pPr>
      <w:r w:rsidDel="00000000" w:rsidR="00000000" w:rsidRPr="00000000">
        <w:rPr>
          <w:rtl w:val="0"/>
        </w:rPr>
      </w:r>
    </w:p>
    <w:p w:rsidR="00000000" w:rsidDel="00000000" w:rsidP="00000000" w:rsidRDefault="00000000" w:rsidRPr="00000000" w14:paraId="00000077">
      <w:pPr>
        <w:spacing w:line="240" w:lineRule="auto"/>
        <w:jc w:val="center"/>
        <w:rPr/>
      </w:pPr>
      <w:r w:rsidDel="00000000" w:rsidR="00000000" w:rsidRPr="00000000">
        <w:rPr/>
        <w:drawing>
          <wp:inline distB="0" distT="0" distL="0" distR="0">
            <wp:extent cx="4186393" cy="3622050"/>
            <wp:effectExtent b="0" l="0" r="0" t="0"/>
            <wp:docPr descr="Imagen que contiene agua, verde, pasto, pequeño  Descripción generada automáticamente" id="20" name="image6.png"/>
            <a:graphic>
              <a:graphicData uri="http://schemas.openxmlformats.org/drawingml/2006/picture">
                <pic:pic>
                  <pic:nvPicPr>
                    <pic:cNvPr descr="Imagen que contiene agua, verde, pasto, pequeño  Descripción generada automáticamente" id="0" name="image6.png"/>
                    <pic:cNvPicPr preferRelativeResize="0"/>
                  </pic:nvPicPr>
                  <pic:blipFill>
                    <a:blip r:embed="rId20"/>
                    <a:srcRect b="1633" l="1050" r="875" t="1225"/>
                    <a:stretch>
                      <a:fillRect/>
                    </a:stretch>
                  </pic:blipFill>
                  <pic:spPr>
                    <a:xfrm>
                      <a:off x="0" y="0"/>
                      <a:ext cx="4186393" cy="36220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00" w:line="240" w:lineRule="auto"/>
        <w:jc w:val="both"/>
        <w:rPr>
          <w:sz w:val="20"/>
          <w:szCs w:val="20"/>
        </w:rPr>
      </w:pPr>
      <w:r w:rsidDel="00000000" w:rsidR="00000000" w:rsidRPr="00000000">
        <w:rPr>
          <w:b w:val="1"/>
          <w:sz w:val="20"/>
          <w:szCs w:val="20"/>
          <w:rtl w:val="0"/>
        </w:rPr>
        <w:t xml:space="preserve">Figura 5</w:t>
      </w:r>
      <w:r w:rsidDel="00000000" w:rsidR="00000000" w:rsidRPr="00000000">
        <w:rPr>
          <w:sz w:val="20"/>
          <w:szCs w:val="20"/>
          <w:rtl w:val="0"/>
        </w:rPr>
        <w:t xml:space="preserve">: Distintos estadíos de la infección provocada por  </w:t>
      </w:r>
      <w:r w:rsidDel="00000000" w:rsidR="00000000" w:rsidRPr="00000000">
        <w:rPr>
          <w:i w:val="1"/>
          <w:sz w:val="20"/>
          <w:szCs w:val="20"/>
          <w:rtl w:val="0"/>
        </w:rPr>
        <w:t xml:space="preserve">Stenocarpella macrospora</w:t>
      </w:r>
      <w:r w:rsidDel="00000000" w:rsidR="00000000" w:rsidRPr="00000000">
        <w:rPr>
          <w:sz w:val="20"/>
          <w:szCs w:val="20"/>
          <w:rtl w:val="0"/>
        </w:rPr>
        <w:t xml:space="preserve"> sobre  hojas de maíz (Plantwise. Disponible en:</w:t>
      </w:r>
      <w:r w:rsidDel="00000000" w:rsidR="00000000" w:rsidRPr="00000000">
        <w:rPr>
          <w:color w:val="44546a"/>
          <w:sz w:val="20"/>
          <w:szCs w:val="20"/>
          <w:rtl w:val="0"/>
        </w:rPr>
        <w:t xml:space="preserve"> </w:t>
      </w:r>
      <w:hyperlink r:id="rId21">
        <w:r w:rsidDel="00000000" w:rsidR="00000000" w:rsidRPr="00000000">
          <w:rPr>
            <w:color w:val="0000ff"/>
            <w:sz w:val="20"/>
            <w:szCs w:val="20"/>
            <w:u w:val="single"/>
            <w:rtl w:val="0"/>
          </w:rPr>
          <w:t xml:space="preserve">https://www.plantwise.org/FullTextPDF/2011/20117800334.pdf</w:t>
        </w:r>
      </w:hyperlink>
      <w:r w:rsidDel="00000000" w:rsidR="00000000" w:rsidRPr="00000000">
        <w:rPr>
          <w:color w:val="44546a"/>
          <w:sz w:val="20"/>
          <w:szCs w:val="20"/>
          <w:rtl w:val="0"/>
        </w:rPr>
        <w:t xml:space="preserve">.)</w:t>
      </w:r>
      <w:r w:rsidDel="00000000" w:rsidR="00000000" w:rsidRPr="00000000">
        <w:rPr>
          <w:rtl w:val="0"/>
        </w:rPr>
      </w:r>
    </w:p>
    <w:p w:rsidR="00000000" w:rsidDel="00000000" w:rsidP="00000000" w:rsidRDefault="00000000" w:rsidRPr="00000000" w14:paraId="00000079">
      <w:pPr>
        <w:spacing w:line="240" w:lineRule="auto"/>
        <w:jc w:val="center"/>
        <w:rPr/>
      </w:pPr>
      <w:r w:rsidDel="00000000" w:rsidR="00000000" w:rsidRPr="00000000">
        <w:rPr>
          <w:rtl w:val="0"/>
        </w:rPr>
      </w:r>
    </w:p>
    <w:sectPr>
      <w:headerReference r:id="rId22" w:type="default"/>
      <w:headerReference r:id="rId23" w:type="first"/>
      <w:headerReference r:id="rId24" w:type="even"/>
      <w:footerReference r:id="rId25" w:type="default"/>
      <w:pgSz w:h="16820" w:w="11900" w:orient="portrait"/>
      <w:pgMar w:bottom="1536" w:top="1984.251968503937" w:left="1710" w:right="183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spacing w:line="240" w:lineRule="auto"/>
      <w:jc w:val="right"/>
      <w:rPr>
        <w:color w:val="000000"/>
      </w:rPr>
    </w:pPr>
    <w:r w:rsidDel="00000000" w:rsidR="00000000" w:rsidRPr="00000000">
      <w:rPr>
        <w:color w:val="7f7f7f"/>
        <w:sz w:val="18"/>
        <w:szCs w:val="18"/>
        <w:rtl w:val="0"/>
      </w:rPr>
      <w:t xml:space="preserve">Anexo </w:t>
    </w:r>
    <w:r w:rsidDel="00000000" w:rsidR="00000000" w:rsidRPr="00000000">
      <w:rPr>
        <w:i w:val="1"/>
        <w:color w:val="7f7f7f"/>
        <w:sz w:val="18"/>
        <w:szCs w:val="18"/>
        <w:rtl w:val="0"/>
      </w:rPr>
      <w:t xml:space="preserve">Stenocarpella macrospora</w:t>
    </w:r>
    <w:r w:rsidDel="00000000" w:rsidR="00000000" w:rsidRPr="00000000">
      <w:rPr>
        <w:color w:val="7f7f7f"/>
        <w:sz w:val="18"/>
        <w:szCs w:val="18"/>
        <w:rtl w:val="0"/>
      </w:rPr>
      <w:t xml:space="preserve"> • Plan Piloto Regional para la certificación fitosanitaria de semilla de </w:t>
    </w:r>
    <w:r w:rsidDel="00000000" w:rsidR="00000000" w:rsidRPr="00000000">
      <w:rPr>
        <w:i w:val="1"/>
        <w:color w:val="7f7f7f"/>
        <w:sz w:val="18"/>
        <w:szCs w:val="18"/>
        <w:rtl w:val="0"/>
      </w:rPr>
      <w:t xml:space="preserve">Zea Mays</w:t>
    </w:r>
    <w:r w:rsidDel="00000000" w:rsidR="00000000" w:rsidRPr="00000000">
      <w:rPr>
        <w:color w:val="7f7f7f"/>
        <w:sz w:val="18"/>
        <w:szCs w:val="18"/>
        <w:rtl w:val="0"/>
      </w:rPr>
      <w:t xml:space="preserve"> con uso previsto propagación y propósito experimentación bajo un enfoque de sistemas • COSAVE – página </w:t>
    </w:r>
    <w:r w:rsidDel="00000000" w:rsidR="00000000" w:rsidRPr="00000000">
      <w:rPr>
        <w:color w:val="7f7f7f"/>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-917411</wp:posOffset>
          </wp:positionH>
          <wp:positionV relativeFrom="paragraph">
            <wp:posOffset>114300</wp:posOffset>
          </wp:positionV>
          <wp:extent cx="7143750" cy="1009650"/>
          <wp:effectExtent b="0" l="0" r="0" t="0"/>
          <wp:wrapNone/>
          <wp:docPr id="21" name="image5.png"/>
          <a:graphic>
            <a:graphicData uri="http://schemas.openxmlformats.org/drawingml/2006/picture">
              <pic:pic>
                <pic:nvPicPr>
                  <pic:cNvPr id="0" name="image5.png"/>
                  <pic:cNvPicPr preferRelativeResize="0"/>
                </pic:nvPicPr>
                <pic:blipFill>
                  <a:blip r:embed="rId1"/>
                  <a:srcRect b="0" l="3588" r="3588" t="14516"/>
                  <a:stretch>
                    <a:fillRect/>
                  </a:stretch>
                </pic:blipFill>
                <pic:spPr>
                  <a:xfrm>
                    <a:off x="0" y="0"/>
                    <a:ext cx="7143750" cy="10096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color w:val="000000"/>
      </w:rPr>
      <w:pict>
        <v:shape id="PowerPlusWaterMarkObject1" style="position:absolute;width:490.8pt;height:98.15pt;rotation:315;z-index:-503316481;mso-position-horizontal-relative:margin;mso-position-horizontal:center;mso-position-vertical-relative:margin;mso-position-vertical:center;" fillcolor="#c0c0c0" stroked="f" type="#_x0000_t136">
          <v:fill angle="0" opacity="32768f"/>
          <v:textpath fitshape="t" string="BORRADOR"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E56FF4"/>
    <w:pPr>
      <w:spacing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E56FF4"/>
    <w:rPr>
      <w:rFonts w:ascii="Tahoma" w:cs="Tahoma" w:hAnsi="Tahoma"/>
      <w:sz w:val="16"/>
      <w:szCs w:val="16"/>
    </w:rPr>
  </w:style>
  <w:style w:type="paragraph" w:styleId="Piedepgina">
    <w:name w:val="footer"/>
    <w:basedOn w:val="Normal"/>
    <w:link w:val="PiedepginaCar"/>
    <w:uiPriority w:val="99"/>
    <w:unhideWhenUsed w:val="1"/>
    <w:rsid w:val="00A208A4"/>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A208A4"/>
  </w:style>
  <w:style w:type="character" w:styleId="Hipervnculo">
    <w:name w:val="Hyperlink"/>
    <w:basedOn w:val="Fuentedeprrafopredeter"/>
    <w:uiPriority w:val="99"/>
    <w:unhideWhenUsed w:val="1"/>
    <w:rsid w:val="0099683B"/>
    <w:rPr>
      <w:color w:val="0000ff" w:themeColor="hyperlink"/>
      <w:u w:val="single"/>
    </w:rPr>
  </w:style>
  <w:style w:type="paragraph" w:styleId="TDC1">
    <w:name w:val="toc 1"/>
    <w:basedOn w:val="Normal"/>
    <w:next w:val="Normal"/>
    <w:autoRedefine w:val="1"/>
    <w:uiPriority w:val="39"/>
    <w:unhideWhenUsed w:val="1"/>
    <w:rsid w:val="00230A80"/>
    <w:pPr>
      <w:spacing w:after="100"/>
    </w:pPr>
  </w:style>
  <w:style w:type="paragraph" w:styleId="TDC2">
    <w:name w:val="toc 2"/>
    <w:basedOn w:val="Normal"/>
    <w:next w:val="Normal"/>
    <w:autoRedefine w:val="1"/>
    <w:uiPriority w:val="39"/>
    <w:unhideWhenUsed w:val="1"/>
    <w:rsid w:val="00230A80"/>
    <w:pPr>
      <w:spacing w:after="100"/>
      <w:ind w:left="220"/>
    </w:pPr>
  </w:style>
  <w:style w:type="paragraph" w:styleId="TDC3">
    <w:name w:val="toc 3"/>
    <w:basedOn w:val="Normal"/>
    <w:next w:val="Normal"/>
    <w:autoRedefine w:val="1"/>
    <w:uiPriority w:val="39"/>
    <w:unhideWhenUsed w:val="1"/>
    <w:rsid w:val="00230A80"/>
    <w:pPr>
      <w:spacing w:after="100"/>
      <w:ind w:left="44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header" Target="header2.xml"/><Relationship Id="rId21" Type="http://schemas.openxmlformats.org/officeDocument/2006/relationships/hyperlink" Target="https://www.plantwise.org/FullTextPDF/2011/20117800334.pdf" TargetMode="External"/><Relationship Id="rId24" Type="http://schemas.openxmlformats.org/officeDocument/2006/relationships/header" Target="header3.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cielo.br/pdf/fb/v28n4/17007.pdf"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link.springer.com/article/10.1007/s40858-016-0079-3" TargetMode="External"/><Relationship Id="rId11" Type="http://schemas.openxmlformats.org/officeDocument/2006/relationships/hyperlink" Target="http://pa.bibdigital.uccor.edu.ar/2259/1/CL_DeRossi_Gimenez_Guerra.pdf" TargetMode="External"/><Relationship Id="rId10" Type="http://schemas.openxmlformats.org/officeDocument/2006/relationships/hyperlink" Target="https://www.scielo.br/j/jss/a/LzR4YNwLfKNGxKxfzWKLB6C/?lang=en" TargetMode="External"/><Relationship Id="rId13" Type="http://schemas.openxmlformats.org/officeDocument/2006/relationships/hyperlink" Target="https://www.researchgate.net/publication/313540737_Stenocarpella_macrospora_and_Stenocarpella_maydis_in_the_cerrado_and_southern_Brazil_regions" TargetMode="External"/><Relationship Id="rId12" Type="http://schemas.openxmlformats.org/officeDocument/2006/relationships/hyperlink" Target="https://gd.eppo.int/download/doc/639_ds_DIPDMA_en.pdf" TargetMode="External"/><Relationship Id="rId15" Type="http://schemas.openxmlformats.org/officeDocument/2006/relationships/hyperlink" Target="http://plantpathology.ca.uky.edu/files/ppfs-ag-c-05.pdf" TargetMode="External"/><Relationship Id="rId14" Type="http://schemas.openxmlformats.org/officeDocument/2006/relationships/hyperlink" Target="https://apsjournals.apsnet.org/doi/full/10.1094/PDIS-09-14-0917-RE" TargetMode="External"/><Relationship Id="rId17" Type="http://schemas.openxmlformats.org/officeDocument/2006/relationships/image" Target="media/image3.jpg"/><Relationship Id="rId16" Type="http://schemas.openxmlformats.org/officeDocument/2006/relationships/image" Target="media/image4.png"/><Relationship Id="rId19" Type="http://schemas.openxmlformats.org/officeDocument/2006/relationships/image" Target="media/image2.jpg"/><Relationship Id="rId18"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XN+Hg04bY7vzrf9gRLCMpxIzw==">CgMxLjAyDmgua3A5ZmF6cTQwdjNhMgloLjFmb2I5dGUyCWguM3pueXNoNzINaC42bDNleHF2NGtlcDIOaC4yNXAwZXkxNzNkcGEyCGgudHlqY3d0Mg5oLnVydGJ1ejg0NmhubjIOaC5ibjJxNzIyem1mbjcyDmgueWs5a3R3OHhqbzVwMg1oLms4bDgyM28xdmkxMg5oLmUyN2RzZHl1djk3ODIOaC5rdjVsMjdpZDA1bmkyDmguaXJ3aHhiM2puMTdwMg5oLmIyeW12dWRzemR0bzIIaC5sbnhiejkyDmguc253NzVvaGY3c3RhMg5oLmdrbnJveG45YWxnNTgAaiQKFHN1Z2dlc3QuaHY3cW41OGticXVtEgxTYWJyaW5hIE1hcnlqIwoTc3VnZ2VzdC5pYXdub3dnbTNtdxIMU2FicmluYSBNYXJ5aiQKFHN1Z2dlc3QuNzU2bTMwdnhkY2NqEgxTYWJyaW5hIE1hcnlqJAoUc3VnZ2VzdC5sb2Q3eGNlNmw4aHkSDFNhYnJpbmEgTWFyeWokChRzdWdnZXN0LmxqZnlpa3R0ZDNocRIMU2FicmluYSBNYXJ5aiMKE3N1Z2dlc3QucHB0anRycWFnbTYSDFNhYnJpbmEgTWFyeWojChNzdWdnZXN0LmpleWlwdXhrNWp6EgxTYWJyaW5hIE1hcnlqJAoUc3VnZ2VzdC50eXl1dnIxdGlzajUSDFNhYnJpbmEgTWFyeWokChRzdWdnZXN0Lm82aTd4dWhwenh0eRIMU2FicmluYSBNYXJ5aiQKFHN1Z2dlc3QuNnF6NzhmcnJ6MTQ1EgxTYWJyaW5hIE1hcnlqJAoUc3VnZ2VzdC5idnV5YjB1NHEyNWUSDFNhYnJpbmEgTWFyeWokChRzdWdnZXN0Lm5tcGl2NnN2MGZwORIMU2FicmluYSBNYXJ5aiQKFHN1Z2dlc3QuNnpvcTR6emJ0OGhxEgxTYWJyaW5hIE1hcnlqIwoTc3VnZ2VzdC42Mzc5bXB0OXF0dhIMU2FicmluYSBNYXJ5aiQKFHN1Z2dlc3QuZjIwN2tuMXUyZjMzEgxTYWJyaW5hIE1hcnlqJAoUc3VnZ2VzdC5rMTc4dWt1YW56NW4SDFNhYnJpbmEgTWFyeWokChRzdWdnZXN0LjdmanU5azZ2M2VvYxIMU2FicmluYSBNYXJ5aiQKFHN1Z2dlc3QuYmdkdmZsZjh1Zzk3EgxTYWJyaW5hIE1hcnlqJAoUc3VnZ2VzdC44MWg1Z3Nxb2ozZzgSDFNhYnJpbmEgTWFyeXIhMUpaUnpPcUJuVlR5NzdKQzhXZDNEY2dmcmd1N3RGcm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2023-04-18T16:17:00Z</dcterms:created>
  <dc:creator>Usuario</dc:creator>
</cp:coreProperties>
</file>