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A5722" w14:textId="77777777" w:rsidR="00185BE9" w:rsidRDefault="008764EA" w:rsidP="008764EA">
      <w:r>
        <w:rPr>
          <w:noProof/>
          <w:lang w:eastAsia="es-CL"/>
        </w:rPr>
        <w:drawing>
          <wp:inline distT="0" distB="0" distL="0" distR="0" wp14:anchorId="16D7BC12" wp14:editId="6D56C977">
            <wp:extent cx="865505" cy="79248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5505" cy="792480"/>
                    </a:xfrm>
                    <a:prstGeom prst="rect">
                      <a:avLst/>
                    </a:prstGeom>
                    <a:noFill/>
                  </pic:spPr>
                </pic:pic>
              </a:graphicData>
            </a:graphic>
          </wp:inline>
        </w:drawing>
      </w:r>
    </w:p>
    <w:p w14:paraId="539D98F4" w14:textId="77777777" w:rsidR="00185BE9" w:rsidRDefault="00185BE9" w:rsidP="00185BE9">
      <w:pPr>
        <w:jc w:val="center"/>
      </w:pPr>
    </w:p>
    <w:p w14:paraId="6001AE2B" w14:textId="77777777" w:rsidR="00185BE9" w:rsidRDefault="00185BE9" w:rsidP="00185BE9">
      <w:pPr>
        <w:jc w:val="center"/>
      </w:pPr>
    </w:p>
    <w:p w14:paraId="3B83862E" w14:textId="77777777" w:rsidR="00185BE9" w:rsidRDefault="00185BE9" w:rsidP="00185BE9">
      <w:pPr>
        <w:jc w:val="center"/>
      </w:pPr>
    </w:p>
    <w:p w14:paraId="3FBF7564" w14:textId="77777777" w:rsidR="00185BE9" w:rsidRDefault="00185BE9" w:rsidP="00185BE9">
      <w:pPr>
        <w:jc w:val="center"/>
      </w:pPr>
    </w:p>
    <w:p w14:paraId="2F075FA3" w14:textId="77777777" w:rsidR="00185BE9" w:rsidRDefault="00185BE9" w:rsidP="00185BE9">
      <w:pPr>
        <w:jc w:val="center"/>
      </w:pPr>
    </w:p>
    <w:p w14:paraId="48ECAFAE" w14:textId="77777777" w:rsidR="00185BE9" w:rsidRDefault="00185BE9" w:rsidP="00185BE9">
      <w:pPr>
        <w:jc w:val="center"/>
      </w:pPr>
    </w:p>
    <w:p w14:paraId="3B1C7A48" w14:textId="77777777" w:rsidR="00185BE9" w:rsidRDefault="00185BE9" w:rsidP="00185BE9">
      <w:pPr>
        <w:jc w:val="center"/>
      </w:pPr>
    </w:p>
    <w:p w14:paraId="4E8BEE5A" w14:textId="77777777" w:rsidR="006C76F0" w:rsidRDefault="006C76F0" w:rsidP="007C5B94">
      <w:pPr>
        <w:spacing w:after="0"/>
        <w:jc w:val="center"/>
        <w:rPr>
          <w:rFonts w:ascii="Verdana" w:hAnsi="Verdana"/>
          <w:sz w:val="28"/>
          <w:szCs w:val="28"/>
        </w:rPr>
      </w:pPr>
      <w:r w:rsidRPr="006C76F0">
        <w:rPr>
          <w:rFonts w:ascii="Verdana" w:hAnsi="Verdana"/>
          <w:sz w:val="28"/>
          <w:szCs w:val="28"/>
        </w:rPr>
        <w:t>INFORME DE RESULTADO</w:t>
      </w:r>
    </w:p>
    <w:p w14:paraId="6943D67F" w14:textId="77777777" w:rsidR="008453F7" w:rsidRDefault="00185BE9" w:rsidP="007C5B94">
      <w:pPr>
        <w:spacing w:after="0"/>
        <w:jc w:val="center"/>
        <w:rPr>
          <w:rFonts w:ascii="Verdana" w:hAnsi="Verdana"/>
          <w:sz w:val="28"/>
          <w:szCs w:val="28"/>
        </w:rPr>
      </w:pPr>
      <w:r w:rsidRPr="00841C6F">
        <w:rPr>
          <w:rFonts w:ascii="Verdana" w:hAnsi="Verdana"/>
          <w:sz w:val="28"/>
          <w:szCs w:val="28"/>
        </w:rPr>
        <w:t xml:space="preserve">PLAN INSTITUCIONAL </w:t>
      </w:r>
      <w:r w:rsidR="008453F7">
        <w:rPr>
          <w:rFonts w:ascii="Verdana" w:hAnsi="Verdana"/>
          <w:sz w:val="28"/>
          <w:szCs w:val="28"/>
        </w:rPr>
        <w:t xml:space="preserve">ANUAL </w:t>
      </w:r>
      <w:r w:rsidR="007C5B94">
        <w:rPr>
          <w:rFonts w:ascii="Verdana" w:hAnsi="Verdana"/>
          <w:sz w:val="28"/>
          <w:szCs w:val="28"/>
        </w:rPr>
        <w:t>201</w:t>
      </w:r>
      <w:r w:rsidR="0082217E">
        <w:rPr>
          <w:rFonts w:ascii="Verdana" w:hAnsi="Verdana"/>
          <w:sz w:val="28"/>
          <w:szCs w:val="28"/>
        </w:rPr>
        <w:t>9</w:t>
      </w:r>
    </w:p>
    <w:p w14:paraId="6A88C43D" w14:textId="77777777" w:rsidR="00185BE9" w:rsidRPr="00841C6F" w:rsidRDefault="00185BE9" w:rsidP="007C5B94">
      <w:pPr>
        <w:spacing w:after="0"/>
        <w:jc w:val="center"/>
        <w:rPr>
          <w:rFonts w:ascii="Verdana" w:hAnsi="Verdana"/>
          <w:sz w:val="28"/>
          <w:szCs w:val="28"/>
        </w:rPr>
      </w:pPr>
      <w:r w:rsidRPr="00841C6F">
        <w:rPr>
          <w:rFonts w:ascii="Verdana" w:hAnsi="Verdana"/>
          <w:sz w:val="28"/>
          <w:szCs w:val="28"/>
        </w:rPr>
        <w:t>SERVICIO AGRÍCOLA Y GANADERO</w:t>
      </w:r>
    </w:p>
    <w:p w14:paraId="1BDD4CE7" w14:textId="77777777" w:rsidR="00665485" w:rsidRDefault="00665485" w:rsidP="00665485">
      <w:pPr>
        <w:spacing w:after="0"/>
        <w:jc w:val="center"/>
        <w:rPr>
          <w:rFonts w:ascii="Verdana" w:hAnsi="Verdana"/>
          <w:sz w:val="20"/>
          <w:szCs w:val="20"/>
        </w:rPr>
      </w:pPr>
    </w:p>
    <w:p w14:paraId="13DBED3F" w14:textId="77777777" w:rsidR="00665485" w:rsidRDefault="00665485" w:rsidP="00665485">
      <w:pPr>
        <w:spacing w:after="0"/>
        <w:jc w:val="center"/>
        <w:rPr>
          <w:rFonts w:ascii="Verdana" w:hAnsi="Verdana"/>
          <w:sz w:val="20"/>
          <w:szCs w:val="20"/>
        </w:rPr>
      </w:pPr>
    </w:p>
    <w:p w14:paraId="77294D9E" w14:textId="77777777" w:rsidR="00665485" w:rsidRDefault="00665485" w:rsidP="00665485">
      <w:pPr>
        <w:spacing w:after="0"/>
        <w:jc w:val="center"/>
        <w:rPr>
          <w:rFonts w:ascii="Verdana" w:hAnsi="Verdana"/>
          <w:sz w:val="20"/>
          <w:szCs w:val="20"/>
        </w:rPr>
      </w:pPr>
    </w:p>
    <w:p w14:paraId="0693AE66" w14:textId="77777777" w:rsidR="00665485" w:rsidRDefault="00665485" w:rsidP="00665485">
      <w:pPr>
        <w:spacing w:after="0"/>
        <w:jc w:val="center"/>
        <w:rPr>
          <w:rFonts w:ascii="Verdana" w:hAnsi="Verdana"/>
          <w:sz w:val="20"/>
          <w:szCs w:val="20"/>
        </w:rPr>
      </w:pPr>
    </w:p>
    <w:p w14:paraId="6A96263D" w14:textId="77777777" w:rsidR="00665485" w:rsidRDefault="00665485" w:rsidP="00665485">
      <w:pPr>
        <w:spacing w:after="0"/>
        <w:jc w:val="center"/>
        <w:rPr>
          <w:rFonts w:ascii="Verdana" w:hAnsi="Verdana"/>
          <w:sz w:val="20"/>
          <w:szCs w:val="20"/>
        </w:rPr>
      </w:pPr>
    </w:p>
    <w:p w14:paraId="1D45F24A" w14:textId="77777777" w:rsidR="00665485" w:rsidRDefault="00665485" w:rsidP="00665485">
      <w:pPr>
        <w:spacing w:after="0"/>
        <w:jc w:val="center"/>
        <w:rPr>
          <w:rFonts w:ascii="Verdana" w:hAnsi="Verdana"/>
          <w:sz w:val="20"/>
          <w:szCs w:val="20"/>
        </w:rPr>
      </w:pPr>
    </w:p>
    <w:p w14:paraId="1F6CCB97" w14:textId="77777777" w:rsidR="00665485" w:rsidRDefault="00665485" w:rsidP="00665485">
      <w:pPr>
        <w:spacing w:after="0"/>
        <w:jc w:val="center"/>
        <w:rPr>
          <w:rFonts w:ascii="Verdana" w:hAnsi="Verdana"/>
          <w:sz w:val="20"/>
          <w:szCs w:val="20"/>
        </w:rPr>
      </w:pPr>
    </w:p>
    <w:p w14:paraId="2BCB1701" w14:textId="77777777" w:rsidR="00665485" w:rsidRDefault="00665485" w:rsidP="00665485">
      <w:pPr>
        <w:spacing w:after="0"/>
        <w:jc w:val="center"/>
        <w:rPr>
          <w:rFonts w:ascii="Verdana" w:hAnsi="Verdana"/>
          <w:sz w:val="20"/>
          <w:szCs w:val="20"/>
        </w:rPr>
      </w:pPr>
    </w:p>
    <w:p w14:paraId="293E4F37" w14:textId="77777777" w:rsidR="00665485" w:rsidRDefault="00665485" w:rsidP="00665485">
      <w:pPr>
        <w:spacing w:after="0"/>
        <w:jc w:val="center"/>
        <w:rPr>
          <w:rFonts w:ascii="Verdana" w:hAnsi="Verdana"/>
          <w:sz w:val="20"/>
          <w:szCs w:val="20"/>
        </w:rPr>
      </w:pPr>
    </w:p>
    <w:p w14:paraId="5671C041" w14:textId="77777777" w:rsidR="00665485" w:rsidRDefault="00665485" w:rsidP="00665485">
      <w:pPr>
        <w:spacing w:after="0"/>
        <w:jc w:val="center"/>
        <w:rPr>
          <w:rFonts w:ascii="Verdana" w:hAnsi="Verdana"/>
          <w:sz w:val="20"/>
          <w:szCs w:val="20"/>
        </w:rPr>
      </w:pPr>
    </w:p>
    <w:p w14:paraId="64E95E32" w14:textId="77777777" w:rsidR="00665485" w:rsidRDefault="00665485" w:rsidP="00665485">
      <w:pPr>
        <w:spacing w:after="0"/>
        <w:jc w:val="center"/>
        <w:rPr>
          <w:rFonts w:ascii="Verdana" w:hAnsi="Verdana"/>
          <w:sz w:val="20"/>
          <w:szCs w:val="20"/>
        </w:rPr>
      </w:pPr>
    </w:p>
    <w:p w14:paraId="67CF832C" w14:textId="77777777" w:rsidR="00665485" w:rsidRDefault="00665485" w:rsidP="00665485">
      <w:pPr>
        <w:spacing w:after="0"/>
        <w:jc w:val="center"/>
        <w:rPr>
          <w:rFonts w:ascii="Verdana" w:hAnsi="Verdana"/>
          <w:sz w:val="20"/>
          <w:szCs w:val="20"/>
        </w:rPr>
      </w:pPr>
    </w:p>
    <w:p w14:paraId="1EE8151D" w14:textId="77777777" w:rsidR="00665485" w:rsidRDefault="00665485" w:rsidP="00665485">
      <w:pPr>
        <w:spacing w:after="0"/>
        <w:jc w:val="center"/>
        <w:rPr>
          <w:rFonts w:ascii="Verdana" w:hAnsi="Verdana"/>
          <w:sz w:val="20"/>
          <w:szCs w:val="20"/>
        </w:rPr>
      </w:pPr>
    </w:p>
    <w:p w14:paraId="487EC31D" w14:textId="77777777" w:rsidR="00665485" w:rsidRDefault="00665485" w:rsidP="00665485">
      <w:pPr>
        <w:spacing w:after="0"/>
        <w:jc w:val="center"/>
        <w:rPr>
          <w:rFonts w:ascii="Verdana" w:hAnsi="Verdana"/>
          <w:sz w:val="20"/>
          <w:szCs w:val="20"/>
        </w:rPr>
      </w:pPr>
    </w:p>
    <w:p w14:paraId="4210179C" w14:textId="77777777" w:rsidR="00665485" w:rsidRDefault="00665485" w:rsidP="00665485">
      <w:pPr>
        <w:spacing w:after="0"/>
        <w:jc w:val="center"/>
        <w:rPr>
          <w:rFonts w:ascii="Verdana" w:hAnsi="Verdana"/>
          <w:sz w:val="20"/>
          <w:szCs w:val="20"/>
        </w:rPr>
      </w:pPr>
    </w:p>
    <w:p w14:paraId="7E66A0F9" w14:textId="77777777" w:rsidR="00665485" w:rsidRDefault="00665485" w:rsidP="00665485">
      <w:pPr>
        <w:spacing w:after="0"/>
        <w:jc w:val="center"/>
        <w:rPr>
          <w:rFonts w:ascii="Verdana" w:hAnsi="Verdana"/>
          <w:sz w:val="20"/>
          <w:szCs w:val="20"/>
        </w:rPr>
      </w:pPr>
    </w:p>
    <w:p w14:paraId="423A607A" w14:textId="77777777" w:rsidR="00665485" w:rsidRDefault="00665485" w:rsidP="00665485">
      <w:pPr>
        <w:spacing w:after="0"/>
        <w:jc w:val="center"/>
        <w:rPr>
          <w:rFonts w:ascii="Verdana" w:hAnsi="Verdana"/>
          <w:sz w:val="20"/>
          <w:szCs w:val="20"/>
        </w:rPr>
      </w:pPr>
    </w:p>
    <w:p w14:paraId="5493F113" w14:textId="77777777" w:rsidR="00665485" w:rsidRDefault="00665485" w:rsidP="00665485">
      <w:pPr>
        <w:spacing w:after="0"/>
        <w:jc w:val="center"/>
        <w:rPr>
          <w:rFonts w:ascii="Verdana" w:hAnsi="Verdana"/>
          <w:sz w:val="20"/>
          <w:szCs w:val="20"/>
        </w:rPr>
      </w:pPr>
    </w:p>
    <w:p w14:paraId="4A944E0D" w14:textId="77777777" w:rsidR="00665485" w:rsidRDefault="00665485" w:rsidP="00665485">
      <w:pPr>
        <w:spacing w:after="0"/>
        <w:jc w:val="center"/>
        <w:rPr>
          <w:rFonts w:ascii="Verdana" w:hAnsi="Verdana"/>
          <w:sz w:val="20"/>
          <w:szCs w:val="20"/>
        </w:rPr>
      </w:pPr>
    </w:p>
    <w:p w14:paraId="368334FF" w14:textId="77777777" w:rsidR="00665485" w:rsidRDefault="00665485" w:rsidP="00665485">
      <w:pPr>
        <w:spacing w:after="0"/>
        <w:jc w:val="center"/>
        <w:rPr>
          <w:rFonts w:ascii="Verdana" w:hAnsi="Verdana"/>
          <w:sz w:val="20"/>
          <w:szCs w:val="20"/>
        </w:rPr>
      </w:pPr>
    </w:p>
    <w:p w14:paraId="6294E02B" w14:textId="77777777" w:rsidR="00665485" w:rsidRDefault="00665485" w:rsidP="00665485">
      <w:pPr>
        <w:spacing w:after="0"/>
        <w:jc w:val="center"/>
        <w:rPr>
          <w:rFonts w:ascii="Verdana" w:hAnsi="Verdana"/>
          <w:sz w:val="20"/>
          <w:szCs w:val="20"/>
        </w:rPr>
      </w:pPr>
    </w:p>
    <w:p w14:paraId="0468C10B" w14:textId="77777777" w:rsidR="00665485" w:rsidRDefault="00665485" w:rsidP="00665485">
      <w:pPr>
        <w:spacing w:after="0"/>
        <w:jc w:val="center"/>
        <w:rPr>
          <w:rFonts w:ascii="Verdana" w:hAnsi="Verdana"/>
          <w:sz w:val="20"/>
          <w:szCs w:val="20"/>
        </w:rPr>
      </w:pPr>
    </w:p>
    <w:p w14:paraId="41C27A4B" w14:textId="77777777" w:rsidR="007C5B94" w:rsidRDefault="007C5B94" w:rsidP="00665485">
      <w:pPr>
        <w:spacing w:after="0"/>
        <w:jc w:val="center"/>
        <w:rPr>
          <w:rFonts w:ascii="Verdana" w:hAnsi="Verdana"/>
          <w:sz w:val="20"/>
          <w:szCs w:val="20"/>
        </w:rPr>
      </w:pPr>
    </w:p>
    <w:p w14:paraId="5CDA6B08" w14:textId="77777777" w:rsidR="00665485" w:rsidRDefault="000361DA" w:rsidP="00665485">
      <w:pPr>
        <w:spacing w:after="0"/>
        <w:jc w:val="center"/>
        <w:rPr>
          <w:rFonts w:ascii="Verdana" w:hAnsi="Verdana"/>
          <w:sz w:val="20"/>
          <w:szCs w:val="20"/>
        </w:rPr>
      </w:pPr>
      <w:r>
        <w:rPr>
          <w:rFonts w:ascii="Verdana" w:hAnsi="Verdana"/>
          <w:sz w:val="20"/>
          <w:szCs w:val="20"/>
        </w:rPr>
        <w:t>Enero</w:t>
      </w:r>
      <w:r w:rsidR="00EB0F43">
        <w:rPr>
          <w:rFonts w:ascii="Verdana" w:hAnsi="Verdana"/>
          <w:sz w:val="20"/>
          <w:szCs w:val="20"/>
        </w:rPr>
        <w:t xml:space="preserve"> de </w:t>
      </w:r>
      <w:r w:rsidR="00AA6A3F">
        <w:rPr>
          <w:rFonts w:ascii="Verdana" w:hAnsi="Verdana"/>
          <w:sz w:val="20"/>
          <w:szCs w:val="20"/>
        </w:rPr>
        <w:t>20</w:t>
      </w:r>
      <w:r>
        <w:rPr>
          <w:rFonts w:ascii="Verdana" w:hAnsi="Verdana"/>
          <w:sz w:val="20"/>
          <w:szCs w:val="20"/>
        </w:rPr>
        <w:t>20</w:t>
      </w:r>
    </w:p>
    <w:p w14:paraId="4248FF4D" w14:textId="77777777" w:rsidR="00665485" w:rsidRPr="00665485" w:rsidRDefault="00665485" w:rsidP="00665485">
      <w:pPr>
        <w:spacing w:after="0"/>
        <w:jc w:val="center"/>
        <w:rPr>
          <w:rFonts w:ascii="Verdana" w:hAnsi="Verdana"/>
          <w:sz w:val="20"/>
          <w:szCs w:val="20"/>
        </w:rPr>
      </w:pPr>
      <w:r w:rsidRPr="00665485">
        <w:rPr>
          <w:rFonts w:ascii="Verdana" w:hAnsi="Verdana"/>
          <w:sz w:val="20"/>
          <w:szCs w:val="20"/>
        </w:rPr>
        <w:t xml:space="preserve">Av. Presidente Bulnes 140, Santiago, Chile. </w:t>
      </w:r>
    </w:p>
    <w:p w14:paraId="05770E4F" w14:textId="77777777" w:rsidR="00665485" w:rsidRPr="00665485" w:rsidRDefault="00522C9A" w:rsidP="00665485">
      <w:pPr>
        <w:spacing w:after="0"/>
        <w:jc w:val="center"/>
        <w:rPr>
          <w:rFonts w:ascii="Verdana" w:hAnsi="Verdana"/>
          <w:sz w:val="20"/>
          <w:szCs w:val="20"/>
        </w:rPr>
      </w:pPr>
      <w:r>
        <w:rPr>
          <w:rFonts w:ascii="Verdana" w:hAnsi="Verdana"/>
          <w:sz w:val="20"/>
          <w:szCs w:val="20"/>
        </w:rPr>
        <w:t xml:space="preserve">Fono: (56-2) 2345 </w:t>
      </w:r>
      <w:r w:rsidR="00401C90">
        <w:rPr>
          <w:rFonts w:ascii="Verdana" w:hAnsi="Verdana"/>
          <w:sz w:val="20"/>
          <w:szCs w:val="20"/>
        </w:rPr>
        <w:t>110</w:t>
      </w:r>
      <w:r w:rsidR="00401C90" w:rsidRPr="00665485">
        <w:rPr>
          <w:rFonts w:ascii="Verdana" w:hAnsi="Verdana"/>
          <w:sz w:val="20"/>
          <w:szCs w:val="20"/>
        </w:rPr>
        <w:t>1</w:t>
      </w:r>
    </w:p>
    <w:p w14:paraId="436C9E4D" w14:textId="77777777" w:rsidR="00665485" w:rsidRPr="00665485" w:rsidRDefault="00665485" w:rsidP="00665485">
      <w:pPr>
        <w:spacing w:after="0"/>
        <w:jc w:val="center"/>
        <w:rPr>
          <w:rFonts w:ascii="Verdana" w:hAnsi="Verdana"/>
          <w:sz w:val="20"/>
          <w:szCs w:val="20"/>
        </w:rPr>
      </w:pPr>
      <w:r w:rsidRPr="00665485">
        <w:rPr>
          <w:rFonts w:ascii="Verdana" w:hAnsi="Verdana"/>
          <w:sz w:val="20"/>
          <w:szCs w:val="20"/>
        </w:rPr>
        <w:t>www.sag.cl</w:t>
      </w:r>
    </w:p>
    <w:p w14:paraId="3901D341" w14:textId="77777777" w:rsidR="00C30B4F" w:rsidRPr="008A75D1" w:rsidRDefault="00542E13" w:rsidP="00542E13">
      <w:pPr>
        <w:jc w:val="center"/>
        <w:rPr>
          <w:rFonts w:asciiTheme="majorHAnsi" w:eastAsiaTheme="majorEastAsia" w:hAnsiTheme="majorHAnsi" w:cstheme="majorBidi"/>
          <w:b/>
          <w:color w:val="2E74B5" w:themeColor="accent1" w:themeShade="BF"/>
          <w:sz w:val="32"/>
          <w:szCs w:val="32"/>
          <w:lang w:val="es-ES" w:eastAsia="es-CL"/>
        </w:rPr>
      </w:pPr>
      <w:r w:rsidRPr="008A75D1">
        <w:rPr>
          <w:rFonts w:asciiTheme="majorHAnsi" w:eastAsiaTheme="majorEastAsia" w:hAnsiTheme="majorHAnsi" w:cstheme="majorBidi"/>
          <w:b/>
          <w:color w:val="2E74B5" w:themeColor="accent1" w:themeShade="BF"/>
          <w:sz w:val="32"/>
          <w:szCs w:val="32"/>
          <w:lang w:val="es-ES" w:eastAsia="es-CL"/>
        </w:rPr>
        <w:lastRenderedPageBreak/>
        <w:t>Índice</w:t>
      </w:r>
    </w:p>
    <w:sdt>
      <w:sdtPr>
        <w:rPr>
          <w:rFonts w:asciiTheme="minorHAnsi" w:eastAsiaTheme="minorHAnsi" w:hAnsiTheme="minorHAnsi" w:cstheme="minorBidi"/>
          <w:color w:val="auto"/>
          <w:sz w:val="22"/>
          <w:szCs w:val="22"/>
          <w:lang w:val="es-ES" w:eastAsia="en-US"/>
        </w:rPr>
        <w:id w:val="-1771613878"/>
        <w:docPartObj>
          <w:docPartGallery w:val="Table of Contents"/>
          <w:docPartUnique/>
        </w:docPartObj>
      </w:sdtPr>
      <w:sdtEndPr>
        <w:rPr>
          <w:b/>
          <w:bCs/>
        </w:rPr>
      </w:sdtEndPr>
      <w:sdtContent>
        <w:p w14:paraId="161231F1" w14:textId="77777777" w:rsidR="00D36660" w:rsidRDefault="00D36660">
          <w:pPr>
            <w:pStyle w:val="TtuloTDC"/>
          </w:pPr>
        </w:p>
        <w:p w14:paraId="5312AF69" w14:textId="74B7CA81" w:rsidR="00DB0012" w:rsidRDefault="00D36660">
          <w:pPr>
            <w:pStyle w:val="TDC1"/>
            <w:rPr>
              <w:rFonts w:cstheme="minorBidi"/>
              <w:b w:val="0"/>
              <w:noProof/>
            </w:rPr>
          </w:pPr>
          <w:r>
            <w:fldChar w:fldCharType="begin"/>
          </w:r>
          <w:r>
            <w:instrText xml:space="preserve"> TOC \o "1-3" \h \z \u </w:instrText>
          </w:r>
          <w:r>
            <w:fldChar w:fldCharType="separate"/>
          </w:r>
          <w:hyperlink w:anchor="_Toc30512075" w:history="1">
            <w:r w:rsidR="00DB0012" w:rsidRPr="00E81CE1">
              <w:rPr>
                <w:rStyle w:val="Hipervnculo"/>
                <w:noProof/>
              </w:rPr>
              <w:t>Introducción</w:t>
            </w:r>
            <w:r w:rsidR="00DB0012">
              <w:rPr>
                <w:noProof/>
                <w:webHidden/>
              </w:rPr>
              <w:tab/>
            </w:r>
            <w:r w:rsidR="00DB0012">
              <w:rPr>
                <w:noProof/>
                <w:webHidden/>
              </w:rPr>
              <w:fldChar w:fldCharType="begin"/>
            </w:r>
            <w:r w:rsidR="00DB0012">
              <w:rPr>
                <w:noProof/>
                <w:webHidden/>
              </w:rPr>
              <w:instrText xml:space="preserve"> PAGEREF _Toc30512075 \h </w:instrText>
            </w:r>
            <w:r w:rsidR="00DB0012">
              <w:rPr>
                <w:noProof/>
                <w:webHidden/>
              </w:rPr>
            </w:r>
            <w:r w:rsidR="00DB0012">
              <w:rPr>
                <w:noProof/>
                <w:webHidden/>
              </w:rPr>
              <w:fldChar w:fldCharType="separate"/>
            </w:r>
            <w:r w:rsidR="00105689">
              <w:rPr>
                <w:noProof/>
                <w:webHidden/>
              </w:rPr>
              <w:t>3</w:t>
            </w:r>
            <w:r w:rsidR="00DB0012">
              <w:rPr>
                <w:noProof/>
                <w:webHidden/>
              </w:rPr>
              <w:fldChar w:fldCharType="end"/>
            </w:r>
          </w:hyperlink>
        </w:p>
        <w:p w14:paraId="0EE02637" w14:textId="056CECDB" w:rsidR="00DB0012" w:rsidRDefault="00771B5C">
          <w:pPr>
            <w:pStyle w:val="TDC1"/>
            <w:rPr>
              <w:rFonts w:cstheme="minorBidi"/>
              <w:b w:val="0"/>
              <w:noProof/>
            </w:rPr>
          </w:pPr>
          <w:hyperlink w:anchor="_Toc30512076" w:history="1">
            <w:r w:rsidR="00DB0012" w:rsidRPr="00E81CE1">
              <w:rPr>
                <w:rStyle w:val="Hipervnculo"/>
                <w:noProof/>
              </w:rPr>
              <w:t>Plan Institucional Anual 2019</w:t>
            </w:r>
            <w:r w:rsidR="00DB0012">
              <w:rPr>
                <w:noProof/>
                <w:webHidden/>
              </w:rPr>
              <w:tab/>
            </w:r>
            <w:r w:rsidR="00DB0012">
              <w:rPr>
                <w:noProof/>
                <w:webHidden/>
              </w:rPr>
              <w:fldChar w:fldCharType="begin"/>
            </w:r>
            <w:r w:rsidR="00DB0012">
              <w:rPr>
                <w:noProof/>
                <w:webHidden/>
              </w:rPr>
              <w:instrText xml:space="preserve"> PAGEREF _Toc30512076 \h </w:instrText>
            </w:r>
            <w:r w:rsidR="00DB0012">
              <w:rPr>
                <w:noProof/>
                <w:webHidden/>
              </w:rPr>
            </w:r>
            <w:r w:rsidR="00DB0012">
              <w:rPr>
                <w:noProof/>
                <w:webHidden/>
              </w:rPr>
              <w:fldChar w:fldCharType="separate"/>
            </w:r>
            <w:r w:rsidR="00105689">
              <w:rPr>
                <w:noProof/>
                <w:webHidden/>
              </w:rPr>
              <w:t>4</w:t>
            </w:r>
            <w:r w:rsidR="00DB0012">
              <w:rPr>
                <w:noProof/>
                <w:webHidden/>
              </w:rPr>
              <w:fldChar w:fldCharType="end"/>
            </w:r>
          </w:hyperlink>
        </w:p>
        <w:p w14:paraId="4826C201" w14:textId="7D110832" w:rsidR="00DB0012" w:rsidRDefault="00771B5C">
          <w:pPr>
            <w:pStyle w:val="TDC1"/>
            <w:rPr>
              <w:rFonts w:cstheme="minorBidi"/>
              <w:b w:val="0"/>
              <w:noProof/>
            </w:rPr>
          </w:pPr>
          <w:hyperlink w:anchor="_Toc30512077" w:history="1">
            <w:r w:rsidR="00DB0012" w:rsidRPr="00E81CE1">
              <w:rPr>
                <w:rStyle w:val="Hipervnculo"/>
                <w:noProof/>
              </w:rPr>
              <w:t>Resultado Plan Institucional 2019, según líneas de acción</w:t>
            </w:r>
            <w:r w:rsidR="00DB0012">
              <w:rPr>
                <w:noProof/>
                <w:webHidden/>
              </w:rPr>
              <w:tab/>
            </w:r>
            <w:r w:rsidR="00DB0012">
              <w:rPr>
                <w:noProof/>
                <w:webHidden/>
              </w:rPr>
              <w:fldChar w:fldCharType="begin"/>
            </w:r>
            <w:r w:rsidR="00DB0012">
              <w:rPr>
                <w:noProof/>
                <w:webHidden/>
              </w:rPr>
              <w:instrText xml:space="preserve"> PAGEREF _Toc30512077 \h </w:instrText>
            </w:r>
            <w:r w:rsidR="00DB0012">
              <w:rPr>
                <w:noProof/>
                <w:webHidden/>
              </w:rPr>
            </w:r>
            <w:r w:rsidR="00DB0012">
              <w:rPr>
                <w:noProof/>
                <w:webHidden/>
              </w:rPr>
              <w:fldChar w:fldCharType="separate"/>
            </w:r>
            <w:r w:rsidR="00105689">
              <w:rPr>
                <w:noProof/>
                <w:webHidden/>
              </w:rPr>
              <w:t>12</w:t>
            </w:r>
            <w:r w:rsidR="00DB0012">
              <w:rPr>
                <w:noProof/>
                <w:webHidden/>
              </w:rPr>
              <w:fldChar w:fldCharType="end"/>
            </w:r>
          </w:hyperlink>
        </w:p>
        <w:p w14:paraId="11ED78C8" w14:textId="3AB2E872" w:rsidR="00DB0012" w:rsidRDefault="00771B5C">
          <w:pPr>
            <w:pStyle w:val="TDC2"/>
            <w:tabs>
              <w:tab w:val="left" w:pos="1320"/>
            </w:tabs>
            <w:rPr>
              <w:rFonts w:cstheme="minorBidi"/>
              <w:noProof/>
            </w:rPr>
          </w:pPr>
          <w:hyperlink w:anchor="_Toc30512078" w:history="1">
            <w:r w:rsidR="00DB0012" w:rsidRPr="00E81CE1">
              <w:rPr>
                <w:rStyle w:val="Hipervnculo"/>
                <w:noProof/>
              </w:rPr>
              <w:t>3.1</w:t>
            </w:r>
            <w:r w:rsidR="00DB0012">
              <w:rPr>
                <w:rFonts w:cstheme="minorBidi"/>
                <w:noProof/>
              </w:rPr>
              <w:tab/>
            </w:r>
            <w:r w:rsidR="00DB0012" w:rsidRPr="00E81CE1">
              <w:rPr>
                <w:rStyle w:val="Hipervnculo"/>
                <w:rFonts w:ascii="Calibri" w:eastAsia="Times New Roman" w:hAnsi="Calibri" w:cs="Calibri"/>
                <w:noProof/>
              </w:rPr>
              <w:t>Fortalecimiento de la protección del patrimonio fito y zoosanitario, y recursos naturales renovables.</w:t>
            </w:r>
            <w:r w:rsidR="00DB0012">
              <w:rPr>
                <w:noProof/>
                <w:webHidden/>
              </w:rPr>
              <w:tab/>
            </w:r>
            <w:r w:rsidR="00DB0012">
              <w:rPr>
                <w:noProof/>
                <w:webHidden/>
              </w:rPr>
              <w:fldChar w:fldCharType="begin"/>
            </w:r>
            <w:r w:rsidR="00DB0012">
              <w:rPr>
                <w:noProof/>
                <w:webHidden/>
              </w:rPr>
              <w:instrText xml:space="preserve"> PAGEREF _Toc30512078 \h </w:instrText>
            </w:r>
            <w:r w:rsidR="00DB0012">
              <w:rPr>
                <w:noProof/>
                <w:webHidden/>
              </w:rPr>
            </w:r>
            <w:r w:rsidR="00DB0012">
              <w:rPr>
                <w:noProof/>
                <w:webHidden/>
              </w:rPr>
              <w:fldChar w:fldCharType="separate"/>
            </w:r>
            <w:r w:rsidR="00105689">
              <w:rPr>
                <w:noProof/>
                <w:webHidden/>
              </w:rPr>
              <w:t>12</w:t>
            </w:r>
            <w:r w:rsidR="00DB0012">
              <w:rPr>
                <w:noProof/>
                <w:webHidden/>
              </w:rPr>
              <w:fldChar w:fldCharType="end"/>
            </w:r>
          </w:hyperlink>
        </w:p>
        <w:p w14:paraId="5E3F5105" w14:textId="2A2DAA6B" w:rsidR="00DB0012" w:rsidRDefault="00771B5C">
          <w:pPr>
            <w:pStyle w:val="TDC2"/>
            <w:tabs>
              <w:tab w:val="left" w:pos="1320"/>
            </w:tabs>
            <w:rPr>
              <w:rFonts w:cstheme="minorBidi"/>
              <w:noProof/>
            </w:rPr>
          </w:pPr>
          <w:hyperlink w:anchor="_Toc30512079" w:history="1">
            <w:r w:rsidR="00DB0012" w:rsidRPr="00E81CE1">
              <w:rPr>
                <w:rStyle w:val="Hipervnculo"/>
                <w:noProof/>
              </w:rPr>
              <w:t>3.2</w:t>
            </w:r>
            <w:r w:rsidR="00DB0012">
              <w:rPr>
                <w:rFonts w:cstheme="minorBidi"/>
                <w:noProof/>
              </w:rPr>
              <w:tab/>
            </w:r>
            <w:r w:rsidR="00DB0012" w:rsidRPr="00E81CE1">
              <w:rPr>
                <w:rStyle w:val="Hipervnculo"/>
                <w:noProof/>
              </w:rPr>
              <w:t>Fortalecimiento del rol fiscalizador del SAG.</w:t>
            </w:r>
            <w:r w:rsidR="00DB0012">
              <w:rPr>
                <w:noProof/>
                <w:webHidden/>
              </w:rPr>
              <w:tab/>
            </w:r>
            <w:r w:rsidR="00DB0012">
              <w:rPr>
                <w:noProof/>
                <w:webHidden/>
              </w:rPr>
              <w:fldChar w:fldCharType="begin"/>
            </w:r>
            <w:r w:rsidR="00DB0012">
              <w:rPr>
                <w:noProof/>
                <w:webHidden/>
              </w:rPr>
              <w:instrText xml:space="preserve"> PAGEREF _Toc30512079 \h </w:instrText>
            </w:r>
            <w:r w:rsidR="00DB0012">
              <w:rPr>
                <w:noProof/>
                <w:webHidden/>
              </w:rPr>
            </w:r>
            <w:r w:rsidR="00DB0012">
              <w:rPr>
                <w:noProof/>
                <w:webHidden/>
              </w:rPr>
              <w:fldChar w:fldCharType="separate"/>
            </w:r>
            <w:r w:rsidR="00105689">
              <w:rPr>
                <w:noProof/>
                <w:webHidden/>
              </w:rPr>
              <w:t>20</w:t>
            </w:r>
            <w:r w:rsidR="00DB0012">
              <w:rPr>
                <w:noProof/>
                <w:webHidden/>
              </w:rPr>
              <w:fldChar w:fldCharType="end"/>
            </w:r>
          </w:hyperlink>
        </w:p>
        <w:p w14:paraId="3E1407C8" w14:textId="635EA789" w:rsidR="00DB0012" w:rsidRDefault="00771B5C">
          <w:pPr>
            <w:pStyle w:val="TDC2"/>
            <w:tabs>
              <w:tab w:val="left" w:pos="1320"/>
            </w:tabs>
            <w:rPr>
              <w:rFonts w:cstheme="minorBidi"/>
              <w:noProof/>
            </w:rPr>
          </w:pPr>
          <w:hyperlink w:anchor="_Toc30512080" w:history="1">
            <w:r w:rsidR="00DB0012" w:rsidRPr="00E81CE1">
              <w:rPr>
                <w:rStyle w:val="Hipervnculo"/>
                <w:noProof/>
              </w:rPr>
              <w:t>3.3</w:t>
            </w:r>
            <w:r w:rsidR="00DB0012">
              <w:rPr>
                <w:rFonts w:cstheme="minorBidi"/>
                <w:noProof/>
              </w:rPr>
              <w:tab/>
            </w:r>
            <w:r w:rsidR="00DB0012" w:rsidRPr="00E81CE1">
              <w:rPr>
                <w:rStyle w:val="Hipervnculo"/>
                <w:rFonts w:ascii="Calibri" w:eastAsia="Times New Roman" w:hAnsi="Calibri" w:cs="Calibri"/>
                <w:noProof/>
              </w:rPr>
              <w:t>SAG facilitador y garante del comercio exterior.</w:t>
            </w:r>
            <w:r w:rsidR="00DB0012">
              <w:rPr>
                <w:noProof/>
                <w:webHidden/>
              </w:rPr>
              <w:tab/>
            </w:r>
            <w:r w:rsidR="00DB0012">
              <w:rPr>
                <w:noProof/>
                <w:webHidden/>
              </w:rPr>
              <w:fldChar w:fldCharType="begin"/>
            </w:r>
            <w:r w:rsidR="00DB0012">
              <w:rPr>
                <w:noProof/>
                <w:webHidden/>
              </w:rPr>
              <w:instrText xml:space="preserve"> PAGEREF _Toc30512080 \h </w:instrText>
            </w:r>
            <w:r w:rsidR="00DB0012">
              <w:rPr>
                <w:noProof/>
                <w:webHidden/>
              </w:rPr>
            </w:r>
            <w:r w:rsidR="00DB0012">
              <w:rPr>
                <w:noProof/>
                <w:webHidden/>
              </w:rPr>
              <w:fldChar w:fldCharType="separate"/>
            </w:r>
            <w:r w:rsidR="00105689">
              <w:rPr>
                <w:noProof/>
                <w:webHidden/>
              </w:rPr>
              <w:t>22</w:t>
            </w:r>
            <w:r w:rsidR="00DB0012">
              <w:rPr>
                <w:noProof/>
                <w:webHidden/>
              </w:rPr>
              <w:fldChar w:fldCharType="end"/>
            </w:r>
          </w:hyperlink>
        </w:p>
        <w:p w14:paraId="217B4AC4" w14:textId="6DD2E579" w:rsidR="00DB0012" w:rsidRDefault="00771B5C">
          <w:pPr>
            <w:pStyle w:val="TDC2"/>
            <w:tabs>
              <w:tab w:val="left" w:pos="1320"/>
            </w:tabs>
            <w:rPr>
              <w:rFonts w:cstheme="minorBidi"/>
              <w:noProof/>
            </w:rPr>
          </w:pPr>
          <w:hyperlink w:anchor="_Toc30512081" w:history="1">
            <w:r w:rsidR="00DB0012" w:rsidRPr="00E81CE1">
              <w:rPr>
                <w:rStyle w:val="Hipervnculo"/>
                <w:noProof/>
              </w:rPr>
              <w:t>3.4</w:t>
            </w:r>
            <w:r w:rsidR="00DB0012">
              <w:rPr>
                <w:rFonts w:cstheme="minorBidi"/>
                <w:noProof/>
              </w:rPr>
              <w:tab/>
            </w:r>
            <w:r w:rsidR="00DB0012" w:rsidRPr="00E81CE1">
              <w:rPr>
                <w:rStyle w:val="Hipervnculo"/>
                <w:rFonts w:ascii="Calibri" w:eastAsia="Times New Roman" w:hAnsi="Calibri" w:cs="Calibri"/>
                <w:noProof/>
              </w:rPr>
              <w:t>Personas comprometidas con la excelencia operacional.</w:t>
            </w:r>
            <w:r w:rsidR="00DB0012">
              <w:rPr>
                <w:noProof/>
                <w:webHidden/>
              </w:rPr>
              <w:tab/>
            </w:r>
            <w:r w:rsidR="00DB0012">
              <w:rPr>
                <w:noProof/>
                <w:webHidden/>
              </w:rPr>
              <w:fldChar w:fldCharType="begin"/>
            </w:r>
            <w:r w:rsidR="00DB0012">
              <w:rPr>
                <w:noProof/>
                <w:webHidden/>
              </w:rPr>
              <w:instrText xml:space="preserve"> PAGEREF _Toc30512081 \h </w:instrText>
            </w:r>
            <w:r w:rsidR="00DB0012">
              <w:rPr>
                <w:noProof/>
                <w:webHidden/>
              </w:rPr>
            </w:r>
            <w:r w:rsidR="00DB0012">
              <w:rPr>
                <w:noProof/>
                <w:webHidden/>
              </w:rPr>
              <w:fldChar w:fldCharType="separate"/>
            </w:r>
            <w:r w:rsidR="00105689">
              <w:rPr>
                <w:noProof/>
                <w:webHidden/>
              </w:rPr>
              <w:t>23</w:t>
            </w:r>
            <w:r w:rsidR="00DB0012">
              <w:rPr>
                <w:noProof/>
                <w:webHidden/>
              </w:rPr>
              <w:fldChar w:fldCharType="end"/>
            </w:r>
          </w:hyperlink>
        </w:p>
        <w:p w14:paraId="11F00325" w14:textId="5D545ACB" w:rsidR="00DB0012" w:rsidRDefault="00771B5C">
          <w:pPr>
            <w:pStyle w:val="TDC1"/>
            <w:rPr>
              <w:rFonts w:cstheme="minorBidi"/>
              <w:b w:val="0"/>
              <w:noProof/>
            </w:rPr>
          </w:pPr>
          <w:hyperlink w:anchor="_Toc30512082" w:history="1">
            <w:r w:rsidR="00DB0012" w:rsidRPr="00E81CE1">
              <w:rPr>
                <w:rStyle w:val="Hipervnculo"/>
                <w:noProof/>
              </w:rPr>
              <w:t>Conclusiones</w:t>
            </w:r>
            <w:r w:rsidR="00DB0012">
              <w:rPr>
                <w:noProof/>
                <w:webHidden/>
              </w:rPr>
              <w:tab/>
            </w:r>
            <w:r w:rsidR="00DB0012">
              <w:rPr>
                <w:noProof/>
                <w:webHidden/>
              </w:rPr>
              <w:fldChar w:fldCharType="begin"/>
            </w:r>
            <w:r w:rsidR="00DB0012">
              <w:rPr>
                <w:noProof/>
                <w:webHidden/>
              </w:rPr>
              <w:instrText xml:space="preserve"> PAGEREF _Toc30512082 \h </w:instrText>
            </w:r>
            <w:r w:rsidR="00DB0012">
              <w:rPr>
                <w:noProof/>
                <w:webHidden/>
              </w:rPr>
            </w:r>
            <w:r w:rsidR="00DB0012">
              <w:rPr>
                <w:noProof/>
                <w:webHidden/>
              </w:rPr>
              <w:fldChar w:fldCharType="separate"/>
            </w:r>
            <w:r w:rsidR="00105689">
              <w:rPr>
                <w:noProof/>
                <w:webHidden/>
              </w:rPr>
              <w:t>27</w:t>
            </w:r>
            <w:r w:rsidR="00DB0012">
              <w:rPr>
                <w:noProof/>
                <w:webHidden/>
              </w:rPr>
              <w:fldChar w:fldCharType="end"/>
            </w:r>
          </w:hyperlink>
        </w:p>
        <w:p w14:paraId="3FB54FEC" w14:textId="77777777" w:rsidR="00D36660" w:rsidRDefault="00D36660">
          <w:r>
            <w:rPr>
              <w:b/>
              <w:bCs/>
              <w:lang w:val="es-ES"/>
            </w:rPr>
            <w:fldChar w:fldCharType="end"/>
          </w:r>
        </w:p>
      </w:sdtContent>
    </w:sdt>
    <w:p w14:paraId="29C7F464" w14:textId="77777777" w:rsidR="00D36660" w:rsidRDefault="00D36660"/>
    <w:p w14:paraId="76F76A21" w14:textId="77777777" w:rsidR="00185BE9" w:rsidRDefault="00185BE9" w:rsidP="00542E13">
      <w:pPr>
        <w:jc w:val="center"/>
      </w:pPr>
      <w:r>
        <w:br w:type="page"/>
      </w:r>
    </w:p>
    <w:p w14:paraId="0CAF70F9" w14:textId="77777777" w:rsidR="00841C6F" w:rsidRPr="008A75D1" w:rsidRDefault="00F47ECD" w:rsidP="00D84CEE">
      <w:pPr>
        <w:pStyle w:val="Ttulo1"/>
        <w:numPr>
          <w:ilvl w:val="0"/>
          <w:numId w:val="8"/>
        </w:numPr>
        <w:rPr>
          <w:b/>
        </w:rPr>
      </w:pPr>
      <w:bookmarkStart w:id="0" w:name="_Toc487613136"/>
      <w:bookmarkStart w:id="1" w:name="_Toc30512075"/>
      <w:r w:rsidRPr="008A75D1">
        <w:rPr>
          <w:b/>
        </w:rPr>
        <w:lastRenderedPageBreak/>
        <w:t>Introducción</w:t>
      </w:r>
      <w:bookmarkEnd w:id="0"/>
      <w:bookmarkEnd w:id="1"/>
    </w:p>
    <w:p w14:paraId="418DB309" w14:textId="77777777" w:rsidR="00841C6F" w:rsidRDefault="00841C6F" w:rsidP="00841C6F">
      <w:pPr>
        <w:spacing w:after="0"/>
        <w:rPr>
          <w:rFonts w:ascii="Verdana" w:hAnsi="Verdana"/>
        </w:rPr>
      </w:pPr>
    </w:p>
    <w:p w14:paraId="741A2B0C" w14:textId="77777777" w:rsidR="00542E13" w:rsidRPr="00841C6F" w:rsidRDefault="00542E13" w:rsidP="00841C6F">
      <w:pPr>
        <w:spacing w:after="0"/>
        <w:jc w:val="both"/>
        <w:rPr>
          <w:rFonts w:ascii="Verdana" w:hAnsi="Verdana"/>
          <w:sz w:val="20"/>
          <w:szCs w:val="20"/>
        </w:rPr>
      </w:pPr>
      <w:r w:rsidRPr="00841C6F">
        <w:rPr>
          <w:rFonts w:ascii="Verdana" w:hAnsi="Verdana"/>
          <w:sz w:val="20"/>
          <w:szCs w:val="20"/>
        </w:rPr>
        <w:t>El Servicio Agrícola y Ganadero (SAG) tiene como misión</w:t>
      </w:r>
      <w:r w:rsidR="000941A0">
        <w:rPr>
          <w:rFonts w:ascii="Verdana" w:hAnsi="Verdana"/>
          <w:sz w:val="20"/>
          <w:szCs w:val="20"/>
        </w:rPr>
        <w:t xml:space="preserve"> p</w:t>
      </w:r>
      <w:r w:rsidR="000941A0" w:rsidRPr="000941A0">
        <w:rPr>
          <w:rFonts w:ascii="Verdana" w:hAnsi="Verdana"/>
          <w:sz w:val="20"/>
          <w:szCs w:val="20"/>
        </w:rPr>
        <w:t xml:space="preserve">roteger y mejorar la condición </w:t>
      </w:r>
      <w:proofErr w:type="spellStart"/>
      <w:r w:rsidR="000941A0" w:rsidRPr="000941A0">
        <w:rPr>
          <w:rFonts w:ascii="Verdana" w:hAnsi="Verdana"/>
          <w:sz w:val="20"/>
          <w:szCs w:val="20"/>
        </w:rPr>
        <w:t>fito</w:t>
      </w:r>
      <w:proofErr w:type="spellEnd"/>
      <w:r w:rsidR="000941A0" w:rsidRPr="000941A0">
        <w:rPr>
          <w:rFonts w:ascii="Verdana" w:hAnsi="Verdana"/>
          <w:sz w:val="20"/>
          <w:szCs w:val="20"/>
        </w:rPr>
        <w:t xml:space="preserve"> y zoosanitaria de los recursos productivos, y conservar los recursos naturales renovables del ámbito </w:t>
      </w:r>
      <w:proofErr w:type="spellStart"/>
      <w:r w:rsidR="000941A0" w:rsidRPr="000941A0">
        <w:rPr>
          <w:rFonts w:ascii="Verdana" w:hAnsi="Verdana"/>
          <w:sz w:val="20"/>
          <w:szCs w:val="20"/>
        </w:rPr>
        <w:t>silvoagropecuario</w:t>
      </w:r>
      <w:proofErr w:type="spellEnd"/>
      <w:r w:rsidR="000941A0" w:rsidRPr="000941A0">
        <w:rPr>
          <w:rFonts w:ascii="Verdana" w:hAnsi="Verdana"/>
          <w:sz w:val="20"/>
          <w:szCs w:val="20"/>
        </w:rPr>
        <w:t xml:space="preserve"> del país, para contribuir al desarrollo sustentable y competitivo del sector.</w:t>
      </w:r>
    </w:p>
    <w:p w14:paraId="2AF24FD7" w14:textId="77777777" w:rsidR="00542E13" w:rsidRPr="00841C6F" w:rsidRDefault="00542E13" w:rsidP="00841C6F">
      <w:pPr>
        <w:spacing w:after="0"/>
        <w:jc w:val="both"/>
        <w:rPr>
          <w:rFonts w:ascii="Verdana" w:hAnsi="Verdana"/>
          <w:sz w:val="20"/>
          <w:szCs w:val="20"/>
        </w:rPr>
      </w:pPr>
    </w:p>
    <w:p w14:paraId="2CEDB4E9" w14:textId="1FA4DC0D" w:rsidR="00542E13" w:rsidRPr="00841C6F" w:rsidRDefault="00542E13" w:rsidP="00841C6F">
      <w:pPr>
        <w:spacing w:after="0"/>
        <w:jc w:val="both"/>
        <w:rPr>
          <w:rFonts w:ascii="Verdana" w:hAnsi="Verdana"/>
          <w:sz w:val="20"/>
          <w:szCs w:val="20"/>
        </w:rPr>
      </w:pPr>
      <w:r w:rsidRPr="00841C6F">
        <w:rPr>
          <w:rFonts w:ascii="Verdana" w:hAnsi="Verdana"/>
          <w:sz w:val="20"/>
          <w:szCs w:val="20"/>
        </w:rPr>
        <w:t xml:space="preserve">Para evitar la introducción desde el extranjero de enfermedades o plagas que puedan afectar a los animales o vegetales y dañar gravemente a la agricultura, se han establecido los </w:t>
      </w:r>
      <w:r w:rsidR="000A4DAC">
        <w:rPr>
          <w:rFonts w:ascii="Verdana" w:hAnsi="Verdana"/>
          <w:sz w:val="20"/>
          <w:szCs w:val="20"/>
        </w:rPr>
        <w:t>c</w:t>
      </w:r>
      <w:r w:rsidR="000A4DAC" w:rsidRPr="00841C6F">
        <w:rPr>
          <w:rFonts w:ascii="Verdana" w:hAnsi="Verdana"/>
          <w:sz w:val="20"/>
          <w:szCs w:val="20"/>
        </w:rPr>
        <w:t xml:space="preserve">ontroles </w:t>
      </w:r>
      <w:r w:rsidR="000A4DAC">
        <w:rPr>
          <w:rFonts w:ascii="Verdana" w:hAnsi="Verdana"/>
          <w:sz w:val="20"/>
          <w:szCs w:val="20"/>
        </w:rPr>
        <w:t>de f</w:t>
      </w:r>
      <w:r w:rsidRPr="00841C6F">
        <w:rPr>
          <w:rFonts w:ascii="Verdana" w:hAnsi="Verdana"/>
          <w:sz w:val="20"/>
          <w:szCs w:val="20"/>
        </w:rPr>
        <w:t>ronter</w:t>
      </w:r>
      <w:r w:rsidR="000A4DAC">
        <w:rPr>
          <w:rFonts w:ascii="Verdana" w:hAnsi="Verdana"/>
          <w:sz w:val="20"/>
          <w:szCs w:val="20"/>
        </w:rPr>
        <w:t>a</w:t>
      </w:r>
      <w:r w:rsidRPr="00841C6F">
        <w:rPr>
          <w:rFonts w:ascii="Verdana" w:hAnsi="Verdana"/>
          <w:sz w:val="20"/>
          <w:szCs w:val="20"/>
        </w:rPr>
        <w:t xml:space="preserve"> </w:t>
      </w:r>
      <w:proofErr w:type="spellStart"/>
      <w:r w:rsidRPr="00841C6F">
        <w:rPr>
          <w:rFonts w:ascii="Verdana" w:hAnsi="Verdana"/>
          <w:sz w:val="20"/>
          <w:szCs w:val="20"/>
        </w:rPr>
        <w:t>fito</w:t>
      </w:r>
      <w:proofErr w:type="spellEnd"/>
      <w:r w:rsidRPr="00841C6F">
        <w:rPr>
          <w:rFonts w:ascii="Verdana" w:hAnsi="Verdana"/>
          <w:sz w:val="20"/>
          <w:szCs w:val="20"/>
        </w:rPr>
        <w:t xml:space="preserve"> y zoosanitarios. Dichos </w:t>
      </w:r>
      <w:r w:rsidR="000A4DAC">
        <w:rPr>
          <w:rFonts w:ascii="Verdana" w:hAnsi="Verdana"/>
          <w:sz w:val="20"/>
          <w:szCs w:val="20"/>
        </w:rPr>
        <w:t>c</w:t>
      </w:r>
      <w:r w:rsidR="000A4DAC" w:rsidRPr="00841C6F">
        <w:rPr>
          <w:rFonts w:ascii="Verdana" w:hAnsi="Verdana"/>
          <w:sz w:val="20"/>
          <w:szCs w:val="20"/>
        </w:rPr>
        <w:t xml:space="preserve">ontroles </w:t>
      </w:r>
      <w:r w:rsidRPr="00841C6F">
        <w:rPr>
          <w:rFonts w:ascii="Verdana" w:hAnsi="Verdana"/>
          <w:sz w:val="20"/>
          <w:szCs w:val="20"/>
        </w:rPr>
        <w:t>funcionan en los lugares de entrada al país, ya sea por vía terrestre, aérea o marítima. Allí se inspeccionan los productos</w:t>
      </w:r>
      <w:r w:rsidR="000A4DAC">
        <w:rPr>
          <w:rFonts w:ascii="Verdana" w:hAnsi="Verdana"/>
          <w:sz w:val="20"/>
          <w:szCs w:val="20"/>
        </w:rPr>
        <w:t>/mercancías</w:t>
      </w:r>
      <w:r w:rsidRPr="00841C6F">
        <w:rPr>
          <w:rFonts w:ascii="Verdana" w:hAnsi="Verdana"/>
          <w:sz w:val="20"/>
          <w:szCs w:val="20"/>
        </w:rPr>
        <w:t xml:space="preserve"> de </w:t>
      </w:r>
      <w:r w:rsidR="000A4DAC">
        <w:rPr>
          <w:rFonts w:ascii="Verdana" w:hAnsi="Verdana"/>
          <w:sz w:val="20"/>
          <w:szCs w:val="20"/>
        </w:rPr>
        <w:t>ating</w:t>
      </w:r>
      <w:r w:rsidR="000A4DAC" w:rsidRPr="00841C6F">
        <w:rPr>
          <w:rFonts w:ascii="Verdana" w:hAnsi="Verdana"/>
          <w:sz w:val="20"/>
          <w:szCs w:val="20"/>
        </w:rPr>
        <w:t xml:space="preserve">encia </w:t>
      </w:r>
      <w:r w:rsidRPr="00841C6F">
        <w:rPr>
          <w:rFonts w:ascii="Verdana" w:hAnsi="Verdana"/>
          <w:sz w:val="20"/>
          <w:szCs w:val="20"/>
        </w:rPr>
        <w:t>del SAG: medios de transporte, equipaje de pasajeros</w:t>
      </w:r>
      <w:r w:rsidR="000A4DAC">
        <w:rPr>
          <w:rFonts w:ascii="Verdana" w:hAnsi="Verdana"/>
          <w:sz w:val="20"/>
          <w:szCs w:val="20"/>
        </w:rPr>
        <w:t xml:space="preserve"> y</w:t>
      </w:r>
      <w:r w:rsidRPr="00841C6F">
        <w:rPr>
          <w:rFonts w:ascii="Verdana" w:hAnsi="Verdana"/>
          <w:sz w:val="20"/>
          <w:szCs w:val="20"/>
        </w:rPr>
        <w:t xml:space="preserve"> tripulación</w:t>
      </w:r>
      <w:r w:rsidR="000A4DAC">
        <w:rPr>
          <w:rFonts w:ascii="Verdana" w:hAnsi="Verdana"/>
          <w:sz w:val="20"/>
          <w:szCs w:val="20"/>
        </w:rPr>
        <w:t>,</w:t>
      </w:r>
      <w:r w:rsidRPr="00841C6F">
        <w:rPr>
          <w:rFonts w:ascii="Verdana" w:hAnsi="Verdana"/>
          <w:sz w:val="20"/>
          <w:szCs w:val="20"/>
        </w:rPr>
        <w:t xml:space="preserve"> y cargas comerciales de productos </w:t>
      </w:r>
      <w:proofErr w:type="spellStart"/>
      <w:r w:rsidRPr="00841C6F">
        <w:rPr>
          <w:rFonts w:ascii="Verdana" w:hAnsi="Verdana"/>
          <w:sz w:val="20"/>
          <w:szCs w:val="20"/>
        </w:rPr>
        <w:t>silvoagropecu</w:t>
      </w:r>
      <w:r w:rsidR="00D84CEE">
        <w:rPr>
          <w:rFonts w:ascii="Verdana" w:hAnsi="Verdana"/>
          <w:sz w:val="20"/>
          <w:szCs w:val="20"/>
        </w:rPr>
        <w:t>arios</w:t>
      </w:r>
      <w:proofErr w:type="spellEnd"/>
      <w:r w:rsidR="00D84CEE">
        <w:rPr>
          <w:rFonts w:ascii="Verdana" w:hAnsi="Verdana"/>
          <w:sz w:val="20"/>
          <w:szCs w:val="20"/>
        </w:rPr>
        <w:t>, para verificar que cumpla</w:t>
      </w:r>
      <w:r w:rsidRPr="00841C6F">
        <w:rPr>
          <w:rFonts w:ascii="Verdana" w:hAnsi="Verdana"/>
          <w:sz w:val="20"/>
          <w:szCs w:val="20"/>
        </w:rPr>
        <w:t>n con las regulaciones sanitarias establecidas.</w:t>
      </w:r>
    </w:p>
    <w:p w14:paraId="36422543" w14:textId="77777777" w:rsidR="00542E13" w:rsidRPr="00841C6F" w:rsidRDefault="00542E13" w:rsidP="00841C6F">
      <w:pPr>
        <w:spacing w:after="0"/>
        <w:jc w:val="both"/>
        <w:rPr>
          <w:rFonts w:ascii="Verdana" w:hAnsi="Verdana"/>
          <w:sz w:val="20"/>
          <w:szCs w:val="20"/>
        </w:rPr>
      </w:pPr>
    </w:p>
    <w:p w14:paraId="229C5448" w14:textId="77777777" w:rsidR="00CC6591" w:rsidRDefault="00542E13" w:rsidP="00841C6F">
      <w:pPr>
        <w:spacing w:after="0"/>
        <w:jc w:val="both"/>
        <w:rPr>
          <w:rFonts w:ascii="Verdana" w:hAnsi="Verdana"/>
          <w:sz w:val="20"/>
          <w:szCs w:val="20"/>
        </w:rPr>
      </w:pPr>
      <w:r w:rsidRPr="00841C6F">
        <w:rPr>
          <w:rFonts w:ascii="Verdana" w:hAnsi="Verdana"/>
          <w:sz w:val="20"/>
          <w:szCs w:val="20"/>
        </w:rPr>
        <w:t xml:space="preserve">El SAG es el encargado de liderar programas de vigilancia, control, supresión y erradicación de enfermedades y plagas </w:t>
      </w:r>
      <w:proofErr w:type="spellStart"/>
      <w:r w:rsidRPr="00841C6F">
        <w:rPr>
          <w:rFonts w:ascii="Verdana" w:hAnsi="Verdana"/>
          <w:sz w:val="20"/>
          <w:szCs w:val="20"/>
        </w:rPr>
        <w:t>silvoagropecuarias</w:t>
      </w:r>
      <w:proofErr w:type="spellEnd"/>
      <w:r w:rsidRPr="00841C6F">
        <w:rPr>
          <w:rFonts w:ascii="Verdana" w:hAnsi="Verdana"/>
          <w:sz w:val="20"/>
          <w:szCs w:val="20"/>
        </w:rPr>
        <w:t xml:space="preserve">, con el objeto de mantener y mejorar el excelente estatus </w:t>
      </w:r>
      <w:proofErr w:type="spellStart"/>
      <w:r w:rsidRPr="00841C6F">
        <w:rPr>
          <w:rFonts w:ascii="Verdana" w:hAnsi="Verdana"/>
          <w:sz w:val="20"/>
          <w:szCs w:val="20"/>
        </w:rPr>
        <w:t>fito</w:t>
      </w:r>
      <w:proofErr w:type="spellEnd"/>
      <w:r w:rsidRPr="00841C6F">
        <w:rPr>
          <w:rFonts w:ascii="Verdana" w:hAnsi="Verdana"/>
          <w:sz w:val="20"/>
          <w:szCs w:val="20"/>
        </w:rPr>
        <w:t xml:space="preserve"> y zoosanitario que ostenta nuestro país. Adicionalmente, el SAG cumple un importante rol fiscalizador, verificando el cumplimiento de normativas legales y reglamentarias en diversos ámbitos </w:t>
      </w:r>
      <w:proofErr w:type="spellStart"/>
      <w:r w:rsidRPr="00841C6F">
        <w:rPr>
          <w:rFonts w:ascii="Verdana" w:hAnsi="Verdana"/>
          <w:sz w:val="20"/>
          <w:szCs w:val="20"/>
        </w:rPr>
        <w:t>silvoagrícolas</w:t>
      </w:r>
      <w:proofErr w:type="spellEnd"/>
      <w:r w:rsidRPr="00841C6F">
        <w:rPr>
          <w:rFonts w:ascii="Verdana" w:hAnsi="Verdana"/>
          <w:sz w:val="20"/>
          <w:szCs w:val="20"/>
        </w:rPr>
        <w:t xml:space="preserve">, pecuarios, de semillas y de recursos naturales. Asimismo, el SAG aplica la normativa vigente sobre protección de los recursos naturales renovables, incluyendo áreas de gestión ambiental, vida silvestre, protección de suelos y agricultura orgánica. </w:t>
      </w:r>
    </w:p>
    <w:p w14:paraId="625A18EF" w14:textId="77777777" w:rsidR="00CC6591" w:rsidRDefault="00CC6591" w:rsidP="00841C6F">
      <w:pPr>
        <w:spacing w:after="0"/>
        <w:jc w:val="both"/>
        <w:rPr>
          <w:rFonts w:ascii="Verdana" w:hAnsi="Verdana"/>
          <w:sz w:val="20"/>
          <w:szCs w:val="20"/>
        </w:rPr>
      </w:pPr>
    </w:p>
    <w:p w14:paraId="357B6D4E" w14:textId="77777777" w:rsidR="00542E13" w:rsidRPr="00841C6F" w:rsidRDefault="00542E13" w:rsidP="00841C6F">
      <w:pPr>
        <w:spacing w:after="0"/>
        <w:jc w:val="both"/>
        <w:rPr>
          <w:rFonts w:ascii="Verdana" w:hAnsi="Verdana"/>
          <w:sz w:val="20"/>
          <w:szCs w:val="20"/>
        </w:rPr>
      </w:pPr>
      <w:r w:rsidRPr="00841C6F">
        <w:rPr>
          <w:rFonts w:ascii="Verdana" w:hAnsi="Verdana"/>
          <w:sz w:val="20"/>
          <w:szCs w:val="20"/>
        </w:rPr>
        <w:t>Relevante y creciente es el rol del SAG en el proceso exportador de nuestro país, siendo el Servicio Oficial que garantiza</w:t>
      </w:r>
      <w:r w:rsidR="00B05A95">
        <w:rPr>
          <w:rFonts w:ascii="Verdana" w:hAnsi="Verdana"/>
          <w:sz w:val="20"/>
          <w:szCs w:val="20"/>
        </w:rPr>
        <w:t>,</w:t>
      </w:r>
      <w:r w:rsidRPr="00841C6F">
        <w:rPr>
          <w:rFonts w:ascii="Verdana" w:hAnsi="Verdana"/>
          <w:sz w:val="20"/>
          <w:szCs w:val="20"/>
        </w:rPr>
        <w:t xml:space="preserve"> a través de su</w:t>
      </w:r>
      <w:r w:rsidR="00CC6591">
        <w:rPr>
          <w:rFonts w:ascii="Verdana" w:hAnsi="Verdana"/>
          <w:sz w:val="20"/>
          <w:szCs w:val="20"/>
        </w:rPr>
        <w:t xml:space="preserve"> proceso</w:t>
      </w:r>
      <w:r w:rsidRPr="00841C6F">
        <w:rPr>
          <w:rFonts w:ascii="Verdana" w:hAnsi="Verdana"/>
          <w:sz w:val="20"/>
          <w:szCs w:val="20"/>
        </w:rPr>
        <w:t xml:space="preserve"> de certificación de exportaciones</w:t>
      </w:r>
      <w:r w:rsidR="00B05A95">
        <w:rPr>
          <w:rFonts w:ascii="Verdana" w:hAnsi="Verdana"/>
          <w:sz w:val="20"/>
          <w:szCs w:val="20"/>
        </w:rPr>
        <w:t>,</w:t>
      </w:r>
      <w:r w:rsidRPr="00841C6F">
        <w:rPr>
          <w:rFonts w:ascii="Verdana" w:hAnsi="Verdana"/>
          <w:sz w:val="20"/>
          <w:szCs w:val="20"/>
        </w:rPr>
        <w:t xml:space="preserve"> el cumplimiento de las exigencias de los diversos mercados de destino</w:t>
      </w:r>
      <w:r w:rsidR="000A4DAC">
        <w:rPr>
          <w:rFonts w:ascii="Verdana" w:hAnsi="Verdana"/>
          <w:sz w:val="20"/>
          <w:szCs w:val="20"/>
        </w:rPr>
        <w:t>,</w:t>
      </w:r>
      <w:r w:rsidRPr="00841C6F">
        <w:rPr>
          <w:rFonts w:ascii="Verdana" w:hAnsi="Verdana"/>
          <w:sz w:val="20"/>
          <w:szCs w:val="20"/>
        </w:rPr>
        <w:t xml:space="preserve"> ayudando a abrir nuevos mercados de exportación.</w:t>
      </w:r>
    </w:p>
    <w:p w14:paraId="5B1D1310" w14:textId="77777777" w:rsidR="00542E13" w:rsidRPr="00841C6F" w:rsidRDefault="00542E13" w:rsidP="00841C6F">
      <w:pPr>
        <w:spacing w:after="0"/>
        <w:jc w:val="both"/>
        <w:rPr>
          <w:rFonts w:ascii="Verdana" w:hAnsi="Verdana"/>
          <w:sz w:val="20"/>
          <w:szCs w:val="20"/>
        </w:rPr>
      </w:pPr>
    </w:p>
    <w:p w14:paraId="057142D4" w14:textId="77777777" w:rsidR="000941A0" w:rsidRDefault="00542E13" w:rsidP="00841C6F">
      <w:pPr>
        <w:spacing w:after="0"/>
        <w:jc w:val="both"/>
        <w:rPr>
          <w:rFonts w:ascii="Verdana" w:hAnsi="Verdana"/>
          <w:sz w:val="20"/>
          <w:szCs w:val="20"/>
        </w:rPr>
      </w:pPr>
      <w:r w:rsidRPr="00841C6F">
        <w:rPr>
          <w:rFonts w:ascii="Verdana" w:hAnsi="Verdana"/>
          <w:sz w:val="20"/>
          <w:szCs w:val="20"/>
        </w:rPr>
        <w:t>Otra función del SAG es controlar que los alimentos y medicamentos elaborados para animales sean seguros y no provoquen alteraciones en su salud, y que los productos químicos y biológicos utilizados en el control de las plagas de los vegetales cumplan con sus normas de fabricación.</w:t>
      </w:r>
    </w:p>
    <w:p w14:paraId="651D75B6" w14:textId="77777777" w:rsidR="000941A0" w:rsidRDefault="000941A0" w:rsidP="00841C6F">
      <w:pPr>
        <w:spacing w:after="0"/>
        <w:jc w:val="both"/>
        <w:rPr>
          <w:rFonts w:ascii="Verdana" w:hAnsi="Verdana"/>
          <w:sz w:val="20"/>
          <w:szCs w:val="20"/>
        </w:rPr>
      </w:pPr>
    </w:p>
    <w:p w14:paraId="3639B7E3" w14:textId="77777777" w:rsidR="00542E13" w:rsidRDefault="000941A0" w:rsidP="00841C6F">
      <w:pPr>
        <w:spacing w:after="0"/>
        <w:jc w:val="both"/>
        <w:rPr>
          <w:rFonts w:ascii="Verdana" w:hAnsi="Verdana"/>
          <w:sz w:val="20"/>
          <w:szCs w:val="20"/>
        </w:rPr>
      </w:pPr>
      <w:r w:rsidRPr="000941A0">
        <w:rPr>
          <w:rFonts w:ascii="Verdana" w:hAnsi="Verdana"/>
          <w:sz w:val="20"/>
          <w:szCs w:val="20"/>
        </w:rPr>
        <w:t xml:space="preserve">En cumplimiento a lo señalado en el artículo 8° de la Ley N°20.803, sobre asignaciones y modificaciones a la planta del Servicio Agrícola y Ganadero, se presenta el siguiente informe </w:t>
      </w:r>
      <w:r w:rsidR="000361DA">
        <w:rPr>
          <w:rFonts w:ascii="Verdana" w:hAnsi="Verdana"/>
          <w:sz w:val="20"/>
          <w:szCs w:val="20"/>
        </w:rPr>
        <w:t>con los resultados del Plan Institucional definido por el Servicio, al 31 de diciembre del año 2019.</w:t>
      </w:r>
    </w:p>
    <w:p w14:paraId="5F50411A" w14:textId="77777777" w:rsidR="00AF2276" w:rsidRDefault="00AF2276" w:rsidP="00841C6F">
      <w:pPr>
        <w:spacing w:after="0"/>
        <w:jc w:val="both"/>
        <w:rPr>
          <w:rFonts w:ascii="Verdana" w:hAnsi="Verdana"/>
          <w:sz w:val="20"/>
          <w:szCs w:val="20"/>
        </w:rPr>
      </w:pPr>
    </w:p>
    <w:p w14:paraId="24DE60C8" w14:textId="77777777" w:rsidR="00AF2276" w:rsidRDefault="00AF2276" w:rsidP="00AF2276">
      <w:pPr>
        <w:spacing w:after="0"/>
        <w:jc w:val="center"/>
        <w:rPr>
          <w:rFonts w:ascii="Verdana" w:hAnsi="Verdana"/>
          <w:sz w:val="20"/>
          <w:szCs w:val="20"/>
        </w:rPr>
      </w:pPr>
    </w:p>
    <w:p w14:paraId="0233A670" w14:textId="77777777" w:rsidR="00D61FB3" w:rsidRDefault="00D61FB3" w:rsidP="00AF2276">
      <w:pPr>
        <w:spacing w:after="0"/>
        <w:jc w:val="center"/>
        <w:rPr>
          <w:rFonts w:ascii="Verdana" w:hAnsi="Verdana"/>
          <w:sz w:val="20"/>
          <w:szCs w:val="20"/>
        </w:rPr>
      </w:pPr>
    </w:p>
    <w:p w14:paraId="1284B8A2" w14:textId="77777777" w:rsidR="00D61FB3" w:rsidRDefault="00D61FB3" w:rsidP="00AF2276">
      <w:pPr>
        <w:spacing w:after="0"/>
        <w:jc w:val="center"/>
        <w:rPr>
          <w:rFonts w:ascii="Verdana" w:hAnsi="Verdana"/>
          <w:sz w:val="20"/>
          <w:szCs w:val="20"/>
        </w:rPr>
      </w:pPr>
    </w:p>
    <w:p w14:paraId="08ABDD33" w14:textId="77777777" w:rsidR="00D61FB3" w:rsidRDefault="00D61FB3" w:rsidP="00AF2276">
      <w:pPr>
        <w:spacing w:after="0"/>
        <w:jc w:val="center"/>
        <w:rPr>
          <w:rFonts w:ascii="Verdana" w:hAnsi="Verdana"/>
          <w:sz w:val="20"/>
          <w:szCs w:val="20"/>
        </w:rPr>
      </w:pPr>
    </w:p>
    <w:p w14:paraId="44519670" w14:textId="77777777" w:rsidR="00D61FB3" w:rsidRDefault="00D61FB3" w:rsidP="00AF2276">
      <w:pPr>
        <w:spacing w:after="0"/>
        <w:jc w:val="center"/>
        <w:rPr>
          <w:rFonts w:ascii="Verdana" w:hAnsi="Verdana"/>
          <w:sz w:val="20"/>
          <w:szCs w:val="20"/>
        </w:rPr>
      </w:pPr>
    </w:p>
    <w:p w14:paraId="09052746" w14:textId="77777777" w:rsidR="00D61FB3" w:rsidRDefault="00D61FB3" w:rsidP="00AF2276">
      <w:pPr>
        <w:spacing w:after="0"/>
        <w:jc w:val="center"/>
        <w:rPr>
          <w:rFonts w:ascii="Verdana" w:hAnsi="Verdana"/>
          <w:sz w:val="20"/>
          <w:szCs w:val="20"/>
        </w:rPr>
      </w:pPr>
    </w:p>
    <w:p w14:paraId="25C06114" w14:textId="77777777" w:rsidR="00D61FB3" w:rsidRDefault="00D61FB3" w:rsidP="00AF2276">
      <w:pPr>
        <w:spacing w:after="0"/>
        <w:jc w:val="center"/>
        <w:rPr>
          <w:rFonts w:ascii="Verdana" w:hAnsi="Verdana"/>
          <w:sz w:val="20"/>
          <w:szCs w:val="20"/>
        </w:rPr>
      </w:pPr>
    </w:p>
    <w:p w14:paraId="6058FC07" w14:textId="77777777" w:rsidR="00AF2276" w:rsidRDefault="00AF2276" w:rsidP="00841C6F">
      <w:pPr>
        <w:spacing w:after="0"/>
        <w:jc w:val="both"/>
        <w:rPr>
          <w:rFonts w:ascii="Verdana" w:hAnsi="Verdana"/>
          <w:sz w:val="20"/>
          <w:szCs w:val="20"/>
        </w:rPr>
      </w:pPr>
    </w:p>
    <w:p w14:paraId="5E85E51F" w14:textId="77777777" w:rsidR="00015259" w:rsidRDefault="00015259" w:rsidP="00D84CEE">
      <w:pPr>
        <w:pStyle w:val="Ttulo1"/>
        <w:numPr>
          <w:ilvl w:val="0"/>
          <w:numId w:val="8"/>
        </w:numPr>
        <w:spacing w:before="0"/>
        <w:rPr>
          <w:b/>
        </w:rPr>
      </w:pPr>
      <w:bookmarkStart w:id="2" w:name="_Toc487613137"/>
      <w:bookmarkStart w:id="3" w:name="_Toc30512076"/>
      <w:r w:rsidRPr="008A75D1">
        <w:rPr>
          <w:b/>
        </w:rPr>
        <w:lastRenderedPageBreak/>
        <w:t xml:space="preserve">Plan Institucional </w:t>
      </w:r>
      <w:r w:rsidR="00C30B4F" w:rsidRPr="008A75D1">
        <w:rPr>
          <w:b/>
        </w:rPr>
        <w:t>Anual</w:t>
      </w:r>
      <w:r w:rsidR="00F47ECD" w:rsidRPr="008A75D1">
        <w:rPr>
          <w:b/>
        </w:rPr>
        <w:t xml:space="preserve"> 201</w:t>
      </w:r>
      <w:bookmarkEnd w:id="2"/>
      <w:r w:rsidR="006568AC">
        <w:rPr>
          <w:b/>
        </w:rPr>
        <w:t>9</w:t>
      </w:r>
      <w:bookmarkEnd w:id="3"/>
    </w:p>
    <w:p w14:paraId="51B3BB90" w14:textId="77777777" w:rsidR="008A75D1" w:rsidRPr="008A75D1" w:rsidRDefault="008A75D1" w:rsidP="008A75D1"/>
    <w:tbl>
      <w:tblPr>
        <w:tblStyle w:val="Tabladecuadrcula4-nfasis11"/>
        <w:tblW w:w="9279" w:type="dxa"/>
        <w:tblLook w:val="04A0" w:firstRow="1" w:lastRow="0" w:firstColumn="1" w:lastColumn="0" w:noHBand="0" w:noVBand="1"/>
      </w:tblPr>
      <w:tblGrid>
        <w:gridCol w:w="1979"/>
        <w:gridCol w:w="1978"/>
        <w:gridCol w:w="1759"/>
        <w:gridCol w:w="1811"/>
        <w:gridCol w:w="886"/>
        <w:gridCol w:w="866"/>
      </w:tblGrid>
      <w:tr w:rsidR="004711B9" w:rsidRPr="00464CB1" w14:paraId="729F2906" w14:textId="77777777" w:rsidTr="00771B5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79" w:type="dxa"/>
          </w:tcPr>
          <w:p w14:paraId="72684C8E" w14:textId="77777777" w:rsidR="004711B9" w:rsidRPr="001019D8" w:rsidRDefault="004711B9" w:rsidP="00D84CEE">
            <w:pPr>
              <w:jc w:val="center"/>
              <w:rPr>
                <w:rFonts w:ascii="Verdana" w:hAnsi="Verdana" w:cstheme="minorHAnsi"/>
                <w:b w:val="0"/>
                <w:sz w:val="20"/>
                <w:szCs w:val="20"/>
              </w:rPr>
            </w:pPr>
            <w:r w:rsidRPr="001019D8">
              <w:rPr>
                <w:rFonts w:ascii="Verdana" w:hAnsi="Verdana" w:cstheme="minorHAnsi"/>
                <w:sz w:val="20"/>
                <w:szCs w:val="20"/>
              </w:rPr>
              <w:t>Principales líneas de acción</w:t>
            </w:r>
          </w:p>
        </w:tc>
        <w:tc>
          <w:tcPr>
            <w:tcW w:w="1978" w:type="dxa"/>
          </w:tcPr>
          <w:p w14:paraId="264DEB48" w14:textId="77777777" w:rsidR="004711B9" w:rsidRPr="001019D8" w:rsidRDefault="004711B9" w:rsidP="00D84CEE">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 w:val="0"/>
                <w:sz w:val="20"/>
                <w:szCs w:val="20"/>
              </w:rPr>
            </w:pPr>
            <w:r w:rsidRPr="001019D8">
              <w:rPr>
                <w:rFonts w:ascii="Verdana" w:hAnsi="Verdana" w:cstheme="minorHAnsi"/>
                <w:sz w:val="20"/>
                <w:szCs w:val="20"/>
              </w:rPr>
              <w:t>Objetivo Estratégico</w:t>
            </w:r>
          </w:p>
        </w:tc>
        <w:tc>
          <w:tcPr>
            <w:tcW w:w="1759" w:type="dxa"/>
          </w:tcPr>
          <w:p w14:paraId="16480133" w14:textId="77777777" w:rsidR="004711B9" w:rsidRPr="001019D8" w:rsidRDefault="004711B9" w:rsidP="00464CB1">
            <w:pPr>
              <w:ind w:left="-93"/>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 w:val="0"/>
                <w:sz w:val="20"/>
                <w:szCs w:val="20"/>
              </w:rPr>
            </w:pPr>
            <w:r w:rsidRPr="001019D8">
              <w:rPr>
                <w:rFonts w:ascii="Verdana" w:hAnsi="Verdana" w:cstheme="minorHAnsi"/>
                <w:sz w:val="20"/>
                <w:szCs w:val="20"/>
              </w:rPr>
              <w:t>Objetivo Específico 2019 (Táctico)</w:t>
            </w:r>
          </w:p>
        </w:tc>
        <w:tc>
          <w:tcPr>
            <w:tcW w:w="1934" w:type="dxa"/>
          </w:tcPr>
          <w:p w14:paraId="6362C569" w14:textId="77777777" w:rsidR="004711B9" w:rsidRPr="001019D8" w:rsidRDefault="004711B9" w:rsidP="00D84CEE">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 w:val="0"/>
                <w:sz w:val="20"/>
                <w:szCs w:val="20"/>
              </w:rPr>
            </w:pPr>
            <w:r w:rsidRPr="001019D8">
              <w:rPr>
                <w:rFonts w:ascii="Verdana" w:hAnsi="Verdana" w:cstheme="minorHAnsi"/>
                <w:sz w:val="20"/>
                <w:szCs w:val="20"/>
              </w:rPr>
              <w:t>Indicador</w:t>
            </w:r>
          </w:p>
        </w:tc>
        <w:tc>
          <w:tcPr>
            <w:tcW w:w="763" w:type="dxa"/>
          </w:tcPr>
          <w:p w14:paraId="5F3C3CB6" w14:textId="77777777" w:rsidR="004711B9" w:rsidRPr="001019D8" w:rsidRDefault="004711B9" w:rsidP="006568AC">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 w:val="0"/>
                <w:sz w:val="20"/>
                <w:szCs w:val="20"/>
              </w:rPr>
            </w:pPr>
            <w:r w:rsidRPr="001019D8">
              <w:rPr>
                <w:rFonts w:ascii="Verdana" w:hAnsi="Verdana" w:cstheme="minorHAnsi"/>
                <w:sz w:val="20"/>
                <w:szCs w:val="20"/>
              </w:rPr>
              <w:t>Meta 2019</w:t>
            </w:r>
          </w:p>
        </w:tc>
        <w:tc>
          <w:tcPr>
            <w:tcW w:w="866" w:type="dxa"/>
          </w:tcPr>
          <w:p w14:paraId="24F1FDB7" w14:textId="77777777" w:rsidR="004711B9" w:rsidRPr="001019D8" w:rsidRDefault="004711B9" w:rsidP="00D84CEE">
            <w:pPr>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sz w:val="20"/>
                <w:szCs w:val="20"/>
              </w:rPr>
            </w:pPr>
            <w:r w:rsidRPr="001019D8">
              <w:rPr>
                <w:rFonts w:ascii="Verdana" w:hAnsi="Verdana" w:cstheme="minorHAnsi"/>
                <w:sz w:val="20"/>
                <w:szCs w:val="20"/>
              </w:rPr>
              <w:t>Notas</w:t>
            </w:r>
          </w:p>
        </w:tc>
      </w:tr>
      <w:tr w:rsidR="004711B9" w:rsidRPr="00464CB1" w14:paraId="43F761A0" w14:textId="77777777" w:rsidTr="00771B5C">
        <w:trPr>
          <w:cnfStyle w:val="000000100000" w:firstRow="0" w:lastRow="0" w:firstColumn="0" w:lastColumn="0" w:oddVBand="0" w:evenVBand="0" w:oddHBand="1" w:evenHBand="0" w:firstRowFirstColumn="0" w:firstRowLastColumn="0" w:lastRowFirstColumn="0" w:lastRowLastColumn="0"/>
          <w:trHeight w:val="3339"/>
        </w:trPr>
        <w:tc>
          <w:tcPr>
            <w:cnfStyle w:val="001000000000" w:firstRow="0" w:lastRow="0" w:firstColumn="1" w:lastColumn="0" w:oddVBand="0" w:evenVBand="0" w:oddHBand="0" w:evenHBand="0" w:firstRowFirstColumn="0" w:firstRowLastColumn="0" w:lastRowFirstColumn="0" w:lastRowLastColumn="0"/>
            <w:tcW w:w="1979" w:type="dxa"/>
            <w:vAlign w:val="center"/>
          </w:tcPr>
          <w:p w14:paraId="13D37F98" w14:textId="77777777" w:rsidR="004711B9" w:rsidRPr="001019D8" w:rsidRDefault="004711B9" w:rsidP="00464CB1">
            <w:pPr>
              <w:spacing w:after="160" w:line="259" w:lineRule="auto"/>
              <w:rPr>
                <w:rFonts w:ascii="Verdana" w:hAnsi="Verdana" w:cstheme="minorHAnsi"/>
                <w:sz w:val="20"/>
                <w:szCs w:val="20"/>
              </w:rPr>
            </w:pPr>
            <w:r w:rsidRPr="001019D8">
              <w:rPr>
                <w:rFonts w:ascii="Verdana" w:eastAsia="Times New Roman" w:hAnsi="Verdana" w:cstheme="minorHAnsi"/>
                <w:sz w:val="20"/>
                <w:szCs w:val="20"/>
                <w:lang w:eastAsia="es-CL"/>
              </w:rPr>
              <w:t xml:space="preserve">Fortalecimiento de la protección del patrimonio </w:t>
            </w:r>
            <w:proofErr w:type="spellStart"/>
            <w:r w:rsidRPr="001019D8">
              <w:rPr>
                <w:rFonts w:ascii="Verdana" w:eastAsia="Times New Roman" w:hAnsi="Verdana" w:cstheme="minorHAnsi"/>
                <w:sz w:val="20"/>
                <w:szCs w:val="20"/>
                <w:lang w:eastAsia="es-CL"/>
              </w:rPr>
              <w:t>fito</w:t>
            </w:r>
            <w:proofErr w:type="spellEnd"/>
            <w:r w:rsidRPr="001019D8">
              <w:rPr>
                <w:rFonts w:ascii="Verdana" w:eastAsia="Times New Roman" w:hAnsi="Verdana" w:cstheme="minorHAnsi"/>
                <w:sz w:val="20"/>
                <w:szCs w:val="20"/>
                <w:lang w:eastAsia="es-CL"/>
              </w:rPr>
              <w:t xml:space="preserve"> y zoosanitario, y recursos naturales renovables.</w:t>
            </w:r>
          </w:p>
        </w:tc>
        <w:tc>
          <w:tcPr>
            <w:tcW w:w="1978" w:type="dxa"/>
            <w:vAlign w:val="center"/>
          </w:tcPr>
          <w:p w14:paraId="33D2A6E9" w14:textId="77777777" w:rsidR="004711B9" w:rsidRPr="001019D8" w:rsidRDefault="004711B9" w:rsidP="00464CB1">
            <w:p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1019D8">
              <w:rPr>
                <w:rFonts w:ascii="Verdana" w:eastAsia="Times New Roman" w:hAnsi="Verdana" w:cstheme="minorHAnsi"/>
                <w:sz w:val="20"/>
                <w:szCs w:val="20"/>
                <w:lang w:eastAsia="es-CL"/>
              </w:rPr>
              <w:t>Conservar y proteger los recursos naturales renovables de competencia del SAG, conforme a las normas vigentes.</w:t>
            </w:r>
          </w:p>
        </w:tc>
        <w:tc>
          <w:tcPr>
            <w:tcW w:w="1759" w:type="dxa"/>
            <w:vAlign w:val="center"/>
          </w:tcPr>
          <w:p w14:paraId="335A176E" w14:textId="77777777" w:rsidR="004711B9" w:rsidRPr="001019D8" w:rsidRDefault="004711B9" w:rsidP="00464CB1">
            <w:p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1019D8">
              <w:rPr>
                <w:rFonts w:ascii="Verdana" w:eastAsia="Times New Roman" w:hAnsi="Verdana" w:cstheme="minorHAnsi"/>
                <w:sz w:val="20"/>
                <w:szCs w:val="20"/>
                <w:lang w:eastAsia="es-CL"/>
              </w:rPr>
              <w:t>Recuperar el potencial productivo de los suelos agropecuarios degradados y mantener los niveles de mejoramiento alcanzados.</w:t>
            </w:r>
          </w:p>
        </w:tc>
        <w:tc>
          <w:tcPr>
            <w:tcW w:w="1934" w:type="dxa"/>
            <w:vAlign w:val="center"/>
          </w:tcPr>
          <w:p w14:paraId="43099BC4" w14:textId="77777777" w:rsidR="004711B9" w:rsidRDefault="004711B9" w:rsidP="00464CB1">
            <w:pPr>
              <w:spacing w:after="160" w:line="259"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20"/>
                <w:szCs w:val="20"/>
                <w:lang w:eastAsia="es-CL"/>
              </w:rPr>
            </w:pPr>
          </w:p>
          <w:p w14:paraId="7161F24B" w14:textId="7E41F2B9" w:rsidR="004711B9" w:rsidRDefault="004711B9" w:rsidP="00464CB1">
            <w:pPr>
              <w:spacing w:after="160" w:line="259"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20"/>
                <w:szCs w:val="20"/>
                <w:lang w:eastAsia="es-CL"/>
              </w:rPr>
            </w:pPr>
            <w:r w:rsidRPr="001019D8">
              <w:rPr>
                <w:rFonts w:ascii="Verdana" w:eastAsia="Times New Roman" w:hAnsi="Verdana" w:cstheme="minorHAnsi"/>
                <w:sz w:val="20"/>
                <w:szCs w:val="20"/>
                <w:lang w:eastAsia="es-CL"/>
              </w:rPr>
              <w:t xml:space="preserve">Porcentaje de superficie bonificada con una o más prácticas del Sistema de Incentivos para la Sustentabilidad Agroambiental de los Suelos Agropecuarios en el año t respecto a la superficie estimada a bonificar en el año t. </w:t>
            </w:r>
          </w:p>
          <w:p w14:paraId="2241A82F" w14:textId="441B964D" w:rsidR="004711B9" w:rsidRPr="001019D8" w:rsidRDefault="004711B9" w:rsidP="00464CB1">
            <w:p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c>
          <w:tcPr>
            <w:tcW w:w="763" w:type="dxa"/>
            <w:vAlign w:val="center"/>
          </w:tcPr>
          <w:p w14:paraId="4BDDE904" w14:textId="77777777" w:rsidR="004711B9" w:rsidRPr="001019D8" w:rsidRDefault="004711B9" w:rsidP="00464CB1">
            <w:p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1019D8">
              <w:rPr>
                <w:rFonts w:ascii="Verdana" w:eastAsia="Times New Roman" w:hAnsi="Verdana" w:cstheme="minorHAnsi"/>
                <w:sz w:val="20"/>
                <w:szCs w:val="20"/>
                <w:lang w:eastAsia="es-CL"/>
              </w:rPr>
              <w:t>100%</w:t>
            </w:r>
          </w:p>
        </w:tc>
        <w:tc>
          <w:tcPr>
            <w:tcW w:w="866" w:type="dxa"/>
            <w:vAlign w:val="center"/>
          </w:tcPr>
          <w:p w14:paraId="1B412568" w14:textId="77777777" w:rsidR="004711B9" w:rsidRPr="001019D8" w:rsidRDefault="004711B9" w:rsidP="00464CB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20"/>
                <w:szCs w:val="20"/>
                <w:lang w:eastAsia="es-CL"/>
              </w:rPr>
            </w:pPr>
            <w:r w:rsidRPr="001019D8">
              <w:rPr>
                <w:rFonts w:ascii="Verdana" w:eastAsia="Times New Roman" w:hAnsi="Verdana" w:cstheme="minorHAnsi"/>
                <w:sz w:val="20"/>
                <w:szCs w:val="20"/>
                <w:lang w:eastAsia="es-CL"/>
              </w:rPr>
              <w:t>1</w:t>
            </w:r>
          </w:p>
          <w:p w14:paraId="2D44D04A" w14:textId="77777777" w:rsidR="004711B9" w:rsidRPr="001019D8" w:rsidRDefault="004711B9" w:rsidP="00464CB1">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20"/>
                <w:szCs w:val="20"/>
                <w:lang w:eastAsia="es-CL"/>
              </w:rPr>
            </w:pPr>
          </w:p>
        </w:tc>
      </w:tr>
      <w:tr w:rsidR="004711B9" w:rsidRPr="00464CB1" w14:paraId="2A074AAD" w14:textId="77777777" w:rsidTr="00771B5C">
        <w:trPr>
          <w:trHeight w:val="3579"/>
        </w:trPr>
        <w:tc>
          <w:tcPr>
            <w:cnfStyle w:val="001000000000" w:firstRow="0" w:lastRow="0" w:firstColumn="1" w:lastColumn="0" w:oddVBand="0" w:evenVBand="0" w:oddHBand="0" w:evenHBand="0" w:firstRowFirstColumn="0" w:firstRowLastColumn="0" w:lastRowFirstColumn="0" w:lastRowLastColumn="0"/>
            <w:tcW w:w="1979" w:type="dxa"/>
            <w:vAlign w:val="center"/>
          </w:tcPr>
          <w:p w14:paraId="50128A80" w14:textId="77777777" w:rsidR="004711B9" w:rsidRPr="001019D8" w:rsidRDefault="004711B9" w:rsidP="00464CB1">
            <w:pPr>
              <w:spacing w:after="160" w:line="259" w:lineRule="auto"/>
              <w:rPr>
                <w:rFonts w:ascii="Verdana" w:hAnsi="Verdana" w:cstheme="minorHAnsi"/>
                <w:sz w:val="20"/>
                <w:szCs w:val="20"/>
              </w:rPr>
            </w:pPr>
            <w:r w:rsidRPr="001019D8">
              <w:rPr>
                <w:rFonts w:ascii="Verdana" w:eastAsia="Times New Roman" w:hAnsi="Verdana" w:cstheme="minorHAnsi"/>
                <w:sz w:val="20"/>
                <w:szCs w:val="20"/>
                <w:lang w:eastAsia="es-CL"/>
              </w:rPr>
              <w:t xml:space="preserve">Fortalecimiento de la protección del patrimonio </w:t>
            </w:r>
            <w:proofErr w:type="spellStart"/>
            <w:r w:rsidRPr="001019D8">
              <w:rPr>
                <w:rFonts w:ascii="Verdana" w:eastAsia="Times New Roman" w:hAnsi="Verdana" w:cstheme="minorHAnsi"/>
                <w:sz w:val="20"/>
                <w:szCs w:val="20"/>
                <w:lang w:eastAsia="es-CL"/>
              </w:rPr>
              <w:t>fito</w:t>
            </w:r>
            <w:proofErr w:type="spellEnd"/>
            <w:r w:rsidRPr="001019D8">
              <w:rPr>
                <w:rFonts w:ascii="Verdana" w:eastAsia="Times New Roman" w:hAnsi="Verdana" w:cstheme="minorHAnsi"/>
                <w:sz w:val="20"/>
                <w:szCs w:val="20"/>
                <w:lang w:eastAsia="es-CL"/>
              </w:rPr>
              <w:t xml:space="preserve"> y zoosanitario, y recursos naturales renovables.</w:t>
            </w:r>
          </w:p>
        </w:tc>
        <w:tc>
          <w:tcPr>
            <w:tcW w:w="1978" w:type="dxa"/>
            <w:vAlign w:val="center"/>
          </w:tcPr>
          <w:p w14:paraId="19D9AA72" w14:textId="77777777" w:rsidR="004711B9" w:rsidRDefault="004711B9" w:rsidP="00464CB1">
            <w:pPr>
              <w:spacing w:after="160" w:line="259" w:lineRule="auto"/>
              <w:cnfStyle w:val="000000000000" w:firstRow="0" w:lastRow="0" w:firstColumn="0" w:lastColumn="0" w:oddVBand="0" w:evenVBand="0" w:oddHBand="0" w:evenHBand="0" w:firstRowFirstColumn="0" w:firstRowLastColumn="0" w:lastRowFirstColumn="0" w:lastRowLastColumn="0"/>
              <w:rPr>
                <w:rFonts w:ascii="Verdana" w:eastAsia="Times New Roman" w:hAnsi="Verdana" w:cstheme="minorHAnsi"/>
                <w:sz w:val="20"/>
                <w:szCs w:val="20"/>
                <w:lang w:eastAsia="es-CL"/>
              </w:rPr>
            </w:pPr>
            <w:r w:rsidRPr="001019D8">
              <w:rPr>
                <w:rFonts w:ascii="Verdana" w:eastAsia="Times New Roman" w:hAnsi="Verdana" w:cstheme="minorHAnsi"/>
                <w:sz w:val="20"/>
                <w:szCs w:val="20"/>
                <w:lang w:eastAsia="es-CL"/>
              </w:rPr>
              <w:t xml:space="preserve">Fortalecer el patrimonio </w:t>
            </w:r>
            <w:proofErr w:type="spellStart"/>
            <w:r w:rsidRPr="001019D8">
              <w:rPr>
                <w:rFonts w:ascii="Verdana" w:eastAsia="Times New Roman" w:hAnsi="Verdana" w:cstheme="minorHAnsi"/>
                <w:sz w:val="20"/>
                <w:szCs w:val="20"/>
                <w:lang w:eastAsia="es-CL"/>
              </w:rPr>
              <w:t>fito</w:t>
            </w:r>
            <w:proofErr w:type="spellEnd"/>
            <w:r w:rsidRPr="001019D8">
              <w:rPr>
                <w:rFonts w:ascii="Verdana" w:eastAsia="Times New Roman" w:hAnsi="Verdana" w:cstheme="minorHAnsi"/>
                <w:sz w:val="20"/>
                <w:szCs w:val="20"/>
                <w:lang w:eastAsia="es-CL"/>
              </w:rPr>
              <w:t xml:space="preserve"> y zoosanitario del país para apoyar el desarrollo sustentable y competitivo del sector </w:t>
            </w:r>
            <w:proofErr w:type="spellStart"/>
            <w:r w:rsidRPr="001019D8">
              <w:rPr>
                <w:rFonts w:ascii="Verdana" w:eastAsia="Times New Roman" w:hAnsi="Verdana" w:cstheme="minorHAnsi"/>
                <w:sz w:val="20"/>
                <w:szCs w:val="20"/>
                <w:lang w:eastAsia="es-CL"/>
              </w:rPr>
              <w:t>silvoagropecuario</w:t>
            </w:r>
            <w:proofErr w:type="spellEnd"/>
            <w:r w:rsidRPr="001019D8">
              <w:rPr>
                <w:rFonts w:ascii="Verdana" w:eastAsia="Times New Roman" w:hAnsi="Verdana" w:cstheme="minorHAnsi"/>
                <w:sz w:val="20"/>
                <w:szCs w:val="20"/>
                <w:lang w:eastAsia="es-CL"/>
              </w:rPr>
              <w:t xml:space="preserve"> nacional velando por el cumplimiento de la normativa de los ámbitos de acción del Servicio.</w:t>
            </w:r>
          </w:p>
          <w:p w14:paraId="72584310" w14:textId="3F2C1976" w:rsidR="004711B9" w:rsidRPr="001019D8" w:rsidRDefault="004711B9" w:rsidP="00464CB1">
            <w:pPr>
              <w:spacing w:after="160" w:line="259"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p>
        </w:tc>
        <w:tc>
          <w:tcPr>
            <w:tcW w:w="1759" w:type="dxa"/>
            <w:vAlign w:val="center"/>
          </w:tcPr>
          <w:p w14:paraId="3F11B29A" w14:textId="77777777" w:rsidR="004711B9" w:rsidRPr="001019D8" w:rsidRDefault="004711B9" w:rsidP="00464CB1">
            <w:pPr>
              <w:spacing w:after="160" w:line="259"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1019D8">
              <w:rPr>
                <w:rFonts w:ascii="Verdana" w:eastAsia="Times New Roman" w:hAnsi="Verdana" w:cstheme="minorHAnsi"/>
                <w:sz w:val="20"/>
                <w:szCs w:val="20"/>
                <w:lang w:eastAsia="es-CL"/>
              </w:rPr>
              <w:t>Mitigar el riesgo de introducción de Polilla gitana (</w:t>
            </w:r>
            <w:proofErr w:type="spellStart"/>
            <w:r w:rsidRPr="001019D8">
              <w:rPr>
                <w:rFonts w:ascii="Verdana" w:eastAsia="Times New Roman" w:hAnsi="Verdana" w:cstheme="minorHAnsi"/>
                <w:sz w:val="20"/>
                <w:szCs w:val="20"/>
                <w:lang w:eastAsia="es-CL"/>
              </w:rPr>
              <w:t>Lymantria</w:t>
            </w:r>
            <w:proofErr w:type="spellEnd"/>
            <w:r w:rsidRPr="001019D8">
              <w:rPr>
                <w:rFonts w:ascii="Verdana" w:eastAsia="Times New Roman" w:hAnsi="Verdana" w:cstheme="minorHAnsi"/>
                <w:sz w:val="20"/>
                <w:szCs w:val="20"/>
                <w:lang w:eastAsia="es-CL"/>
              </w:rPr>
              <w:t xml:space="preserve"> dispar) en el territorio nacional, por naves provenientes de países de riesgo.</w:t>
            </w:r>
          </w:p>
        </w:tc>
        <w:tc>
          <w:tcPr>
            <w:tcW w:w="1934" w:type="dxa"/>
            <w:vAlign w:val="center"/>
          </w:tcPr>
          <w:p w14:paraId="24FD861A" w14:textId="77777777" w:rsidR="004711B9" w:rsidRPr="001019D8" w:rsidRDefault="004711B9" w:rsidP="00464CB1">
            <w:pPr>
              <w:spacing w:after="160" w:line="259"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1019D8">
              <w:rPr>
                <w:rFonts w:ascii="Verdana" w:eastAsia="Times New Roman" w:hAnsi="Verdana" w:cstheme="minorHAnsi"/>
                <w:sz w:val="20"/>
                <w:szCs w:val="20"/>
                <w:lang w:eastAsia="es-CL"/>
              </w:rPr>
              <w:t xml:space="preserve">Porcentaje de naves de riesgo sometidas a inspección obligatoria y específica para la detección de polilla gitana raza asiática en puertos nacionales. </w:t>
            </w:r>
          </w:p>
        </w:tc>
        <w:tc>
          <w:tcPr>
            <w:tcW w:w="763" w:type="dxa"/>
            <w:vAlign w:val="center"/>
          </w:tcPr>
          <w:p w14:paraId="2D0E6A37" w14:textId="77777777" w:rsidR="004711B9" w:rsidRPr="001019D8" w:rsidRDefault="004711B9" w:rsidP="00464CB1">
            <w:pPr>
              <w:spacing w:after="160" w:line="259"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1019D8">
              <w:rPr>
                <w:rFonts w:ascii="Verdana" w:eastAsia="Times New Roman" w:hAnsi="Verdana" w:cstheme="minorHAnsi"/>
                <w:sz w:val="20"/>
                <w:szCs w:val="20"/>
                <w:lang w:eastAsia="es-CL"/>
              </w:rPr>
              <w:t>90%</w:t>
            </w:r>
          </w:p>
        </w:tc>
        <w:tc>
          <w:tcPr>
            <w:tcW w:w="866" w:type="dxa"/>
            <w:vAlign w:val="center"/>
          </w:tcPr>
          <w:p w14:paraId="1D0D807F" w14:textId="77777777" w:rsidR="004711B9" w:rsidRPr="001019D8" w:rsidRDefault="004711B9" w:rsidP="00464CB1">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1019D8">
              <w:rPr>
                <w:rFonts w:ascii="Verdana" w:eastAsia="Times New Roman" w:hAnsi="Verdana" w:cstheme="minorHAnsi"/>
                <w:sz w:val="20"/>
                <w:szCs w:val="20"/>
                <w:lang w:eastAsia="es-CL"/>
              </w:rPr>
              <w:t>2</w:t>
            </w:r>
          </w:p>
        </w:tc>
      </w:tr>
      <w:tr w:rsidR="004711B9" w:rsidRPr="00464CB1" w14:paraId="6535AD56" w14:textId="77777777" w:rsidTr="00771B5C">
        <w:trPr>
          <w:cnfStyle w:val="000000100000" w:firstRow="0" w:lastRow="0" w:firstColumn="0" w:lastColumn="0" w:oddVBand="0" w:evenVBand="0" w:oddHBand="1" w:evenHBand="0" w:firstRowFirstColumn="0" w:firstRowLastColumn="0" w:lastRowFirstColumn="0" w:lastRowLastColumn="0"/>
          <w:trHeight w:val="4110"/>
        </w:trPr>
        <w:tc>
          <w:tcPr>
            <w:cnfStyle w:val="001000000000" w:firstRow="0" w:lastRow="0" w:firstColumn="1" w:lastColumn="0" w:oddVBand="0" w:evenVBand="0" w:oddHBand="0" w:evenHBand="0" w:firstRowFirstColumn="0" w:firstRowLastColumn="0" w:lastRowFirstColumn="0" w:lastRowLastColumn="0"/>
            <w:tcW w:w="1979" w:type="dxa"/>
            <w:vAlign w:val="center"/>
          </w:tcPr>
          <w:p w14:paraId="4CF1682B" w14:textId="77777777" w:rsidR="004711B9" w:rsidRPr="001019D8" w:rsidRDefault="004711B9" w:rsidP="001019D8">
            <w:pPr>
              <w:spacing w:line="259" w:lineRule="auto"/>
              <w:rPr>
                <w:rFonts w:ascii="Verdana" w:hAnsi="Verdana" w:cstheme="minorHAnsi"/>
                <w:sz w:val="20"/>
                <w:szCs w:val="20"/>
              </w:rPr>
            </w:pPr>
            <w:r w:rsidRPr="001019D8">
              <w:rPr>
                <w:rFonts w:ascii="Verdana" w:eastAsia="Times New Roman" w:hAnsi="Verdana" w:cstheme="minorHAnsi"/>
                <w:sz w:val="20"/>
                <w:szCs w:val="20"/>
                <w:lang w:eastAsia="es-CL"/>
              </w:rPr>
              <w:lastRenderedPageBreak/>
              <w:t xml:space="preserve">Fortalecimiento de la protección del patrimonio </w:t>
            </w:r>
            <w:proofErr w:type="spellStart"/>
            <w:r w:rsidRPr="001019D8">
              <w:rPr>
                <w:rFonts w:ascii="Verdana" w:eastAsia="Times New Roman" w:hAnsi="Verdana" w:cstheme="minorHAnsi"/>
                <w:sz w:val="20"/>
                <w:szCs w:val="20"/>
                <w:lang w:eastAsia="es-CL"/>
              </w:rPr>
              <w:t>fito</w:t>
            </w:r>
            <w:proofErr w:type="spellEnd"/>
            <w:r w:rsidRPr="001019D8">
              <w:rPr>
                <w:rFonts w:ascii="Verdana" w:eastAsia="Times New Roman" w:hAnsi="Verdana" w:cstheme="minorHAnsi"/>
                <w:sz w:val="20"/>
                <w:szCs w:val="20"/>
                <w:lang w:eastAsia="es-CL"/>
              </w:rPr>
              <w:t xml:space="preserve"> y zoosanitario, y recursos naturales renovables.</w:t>
            </w:r>
          </w:p>
        </w:tc>
        <w:tc>
          <w:tcPr>
            <w:tcW w:w="1978" w:type="dxa"/>
            <w:vAlign w:val="center"/>
          </w:tcPr>
          <w:p w14:paraId="64360692" w14:textId="3BBF7CF6" w:rsidR="004711B9" w:rsidRPr="001019D8" w:rsidRDefault="004711B9" w:rsidP="001019D8">
            <w:p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1019D8">
              <w:rPr>
                <w:rFonts w:ascii="Verdana" w:hAnsi="Verdana"/>
                <w:sz w:val="20"/>
                <w:szCs w:val="20"/>
              </w:rPr>
              <w:t xml:space="preserve">Fortalecer el patrimonio </w:t>
            </w:r>
            <w:proofErr w:type="spellStart"/>
            <w:r w:rsidRPr="001019D8">
              <w:rPr>
                <w:rFonts w:ascii="Verdana" w:hAnsi="Verdana"/>
                <w:sz w:val="20"/>
                <w:szCs w:val="20"/>
              </w:rPr>
              <w:t>fito</w:t>
            </w:r>
            <w:proofErr w:type="spellEnd"/>
            <w:r w:rsidRPr="001019D8">
              <w:rPr>
                <w:rFonts w:ascii="Verdana" w:hAnsi="Verdana"/>
                <w:sz w:val="20"/>
                <w:szCs w:val="20"/>
              </w:rPr>
              <w:t xml:space="preserve"> y zoosanitario del país para apoyar el desarrollo sustentable y competitivo del sector </w:t>
            </w:r>
            <w:proofErr w:type="spellStart"/>
            <w:r w:rsidRPr="001019D8">
              <w:rPr>
                <w:rFonts w:ascii="Verdana" w:hAnsi="Verdana"/>
                <w:sz w:val="20"/>
                <w:szCs w:val="20"/>
              </w:rPr>
              <w:t>silvoagropecuario</w:t>
            </w:r>
            <w:proofErr w:type="spellEnd"/>
            <w:r w:rsidRPr="001019D8">
              <w:rPr>
                <w:rFonts w:ascii="Verdana" w:hAnsi="Verdana"/>
                <w:sz w:val="20"/>
                <w:szCs w:val="20"/>
              </w:rPr>
              <w:t xml:space="preserve"> nacional velando por el cumplimiento de la normativa de los </w:t>
            </w:r>
            <w:r>
              <w:rPr>
                <w:rFonts w:ascii="Verdana" w:hAnsi="Verdana"/>
                <w:sz w:val="20"/>
                <w:szCs w:val="20"/>
              </w:rPr>
              <w:t>ámbitos de acción del Servicio.</w:t>
            </w:r>
          </w:p>
        </w:tc>
        <w:tc>
          <w:tcPr>
            <w:tcW w:w="1759" w:type="dxa"/>
            <w:vAlign w:val="center"/>
          </w:tcPr>
          <w:p w14:paraId="07A6FDC9" w14:textId="77777777" w:rsidR="004711B9" w:rsidRPr="001019D8" w:rsidRDefault="004711B9" w:rsidP="003B3EC8">
            <w:p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1019D8">
              <w:rPr>
                <w:rFonts w:ascii="Verdana" w:hAnsi="Verdana"/>
                <w:sz w:val="20"/>
                <w:szCs w:val="20"/>
              </w:rPr>
              <w:t>Conocer, mantener y mejorar la  condición zoosanitaria nacional.</w:t>
            </w:r>
          </w:p>
        </w:tc>
        <w:tc>
          <w:tcPr>
            <w:tcW w:w="1934" w:type="dxa"/>
            <w:vAlign w:val="center"/>
          </w:tcPr>
          <w:p w14:paraId="2C62CD54" w14:textId="6BDC2826" w:rsidR="004711B9" w:rsidRPr="001019D8" w:rsidRDefault="004711B9" w:rsidP="001019D8">
            <w:p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1019D8">
              <w:rPr>
                <w:rFonts w:ascii="Verdana" w:hAnsi="Verdana"/>
                <w:sz w:val="20"/>
                <w:szCs w:val="20"/>
              </w:rPr>
              <w:t>Porcentaje de enfermedades de importancia zoosanitaria ausentes en Chile respecto al total de enfermedades de importancia zoosanitaria.</w:t>
            </w:r>
          </w:p>
        </w:tc>
        <w:tc>
          <w:tcPr>
            <w:tcW w:w="763" w:type="dxa"/>
            <w:vAlign w:val="center"/>
          </w:tcPr>
          <w:p w14:paraId="656BEA07" w14:textId="77777777" w:rsidR="004711B9" w:rsidRPr="001019D8" w:rsidRDefault="004711B9" w:rsidP="003B3EC8">
            <w:p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1019D8">
              <w:rPr>
                <w:rFonts w:ascii="Verdana" w:eastAsia="Times New Roman" w:hAnsi="Verdana" w:cstheme="minorHAnsi"/>
                <w:sz w:val="20"/>
                <w:szCs w:val="20"/>
                <w:lang w:eastAsia="es-CL"/>
              </w:rPr>
              <w:t>100%</w:t>
            </w:r>
          </w:p>
        </w:tc>
        <w:tc>
          <w:tcPr>
            <w:tcW w:w="866" w:type="dxa"/>
            <w:vAlign w:val="center"/>
          </w:tcPr>
          <w:p w14:paraId="77FDF890" w14:textId="77777777" w:rsidR="004711B9" w:rsidRPr="001019D8" w:rsidRDefault="004711B9" w:rsidP="003B3EC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1019D8">
              <w:rPr>
                <w:rFonts w:ascii="Verdana" w:eastAsia="Times New Roman" w:hAnsi="Verdana" w:cstheme="minorHAnsi"/>
                <w:sz w:val="20"/>
                <w:szCs w:val="20"/>
                <w:lang w:eastAsia="es-CL"/>
              </w:rPr>
              <w:t>3</w:t>
            </w:r>
          </w:p>
        </w:tc>
      </w:tr>
      <w:tr w:rsidR="004711B9" w:rsidRPr="00464CB1" w14:paraId="7CFDB46E" w14:textId="77777777" w:rsidTr="00771B5C">
        <w:tc>
          <w:tcPr>
            <w:cnfStyle w:val="001000000000" w:firstRow="0" w:lastRow="0" w:firstColumn="1" w:lastColumn="0" w:oddVBand="0" w:evenVBand="0" w:oddHBand="0" w:evenHBand="0" w:firstRowFirstColumn="0" w:firstRowLastColumn="0" w:lastRowFirstColumn="0" w:lastRowLastColumn="0"/>
            <w:tcW w:w="1979" w:type="dxa"/>
            <w:vAlign w:val="center"/>
          </w:tcPr>
          <w:p w14:paraId="74DEC10D" w14:textId="77777777" w:rsidR="004711B9" w:rsidRPr="001019D8" w:rsidRDefault="004711B9" w:rsidP="001019D8">
            <w:pPr>
              <w:spacing w:line="259" w:lineRule="auto"/>
              <w:rPr>
                <w:rFonts w:ascii="Verdana" w:hAnsi="Verdana" w:cstheme="minorHAnsi"/>
                <w:sz w:val="20"/>
                <w:szCs w:val="20"/>
              </w:rPr>
            </w:pPr>
            <w:r w:rsidRPr="001019D8">
              <w:rPr>
                <w:rFonts w:ascii="Verdana" w:eastAsia="Times New Roman" w:hAnsi="Verdana" w:cstheme="minorHAnsi"/>
                <w:sz w:val="20"/>
                <w:szCs w:val="20"/>
                <w:lang w:eastAsia="es-CL"/>
              </w:rPr>
              <w:t xml:space="preserve">Fortalecimiento de la protección del patrimonio </w:t>
            </w:r>
            <w:proofErr w:type="spellStart"/>
            <w:r w:rsidRPr="001019D8">
              <w:rPr>
                <w:rFonts w:ascii="Verdana" w:eastAsia="Times New Roman" w:hAnsi="Verdana" w:cstheme="minorHAnsi"/>
                <w:sz w:val="20"/>
                <w:szCs w:val="20"/>
                <w:lang w:eastAsia="es-CL"/>
              </w:rPr>
              <w:t>fito</w:t>
            </w:r>
            <w:proofErr w:type="spellEnd"/>
            <w:r w:rsidRPr="001019D8">
              <w:rPr>
                <w:rFonts w:ascii="Verdana" w:eastAsia="Times New Roman" w:hAnsi="Verdana" w:cstheme="minorHAnsi"/>
                <w:sz w:val="20"/>
                <w:szCs w:val="20"/>
                <w:lang w:eastAsia="es-CL"/>
              </w:rPr>
              <w:t xml:space="preserve"> y zoosanitario, y recursos naturales renovables.</w:t>
            </w:r>
          </w:p>
        </w:tc>
        <w:tc>
          <w:tcPr>
            <w:tcW w:w="1978" w:type="dxa"/>
            <w:vAlign w:val="center"/>
          </w:tcPr>
          <w:p w14:paraId="20A10031" w14:textId="77777777" w:rsidR="004711B9" w:rsidRPr="001019D8" w:rsidRDefault="004711B9" w:rsidP="001019D8">
            <w:pPr>
              <w:spacing w:line="259"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1019D8">
              <w:rPr>
                <w:rFonts w:ascii="Verdana" w:hAnsi="Verdana"/>
                <w:sz w:val="20"/>
                <w:szCs w:val="20"/>
              </w:rPr>
              <w:t xml:space="preserve">Fortalecer el patrimonio </w:t>
            </w:r>
            <w:proofErr w:type="spellStart"/>
            <w:r w:rsidRPr="001019D8">
              <w:rPr>
                <w:rFonts w:ascii="Verdana" w:hAnsi="Verdana"/>
                <w:sz w:val="20"/>
                <w:szCs w:val="20"/>
              </w:rPr>
              <w:t>fito</w:t>
            </w:r>
            <w:proofErr w:type="spellEnd"/>
            <w:r w:rsidRPr="001019D8">
              <w:rPr>
                <w:rFonts w:ascii="Verdana" w:hAnsi="Verdana"/>
                <w:sz w:val="20"/>
                <w:szCs w:val="20"/>
              </w:rPr>
              <w:t xml:space="preserve"> y zoosanitario del país para apoyar el desarrollo sustentable y competitivo del sector </w:t>
            </w:r>
            <w:proofErr w:type="spellStart"/>
            <w:r w:rsidRPr="001019D8">
              <w:rPr>
                <w:rFonts w:ascii="Verdana" w:hAnsi="Verdana"/>
                <w:sz w:val="20"/>
                <w:szCs w:val="20"/>
              </w:rPr>
              <w:t>silvoagropecuario</w:t>
            </w:r>
            <w:proofErr w:type="spellEnd"/>
            <w:r w:rsidRPr="001019D8">
              <w:rPr>
                <w:rFonts w:ascii="Verdana" w:hAnsi="Verdana"/>
                <w:sz w:val="20"/>
                <w:szCs w:val="20"/>
              </w:rPr>
              <w:t xml:space="preserve"> nacional velando por el cumplimiento de la normativa de los ámbitos de acción del Servicio.</w:t>
            </w:r>
          </w:p>
        </w:tc>
        <w:tc>
          <w:tcPr>
            <w:tcW w:w="1759" w:type="dxa"/>
            <w:vAlign w:val="center"/>
          </w:tcPr>
          <w:p w14:paraId="5B912400" w14:textId="77777777" w:rsidR="004711B9" w:rsidRPr="001019D8" w:rsidRDefault="004711B9" w:rsidP="001019D8">
            <w:pPr>
              <w:spacing w:line="259"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1019D8">
              <w:rPr>
                <w:rFonts w:ascii="Verdana" w:hAnsi="Verdana"/>
                <w:sz w:val="20"/>
                <w:szCs w:val="20"/>
              </w:rPr>
              <w:t xml:space="preserve">Controlar y/o erradicar </w:t>
            </w:r>
            <w:proofErr w:type="spellStart"/>
            <w:r w:rsidRPr="001019D8">
              <w:rPr>
                <w:rFonts w:ascii="Verdana" w:hAnsi="Verdana"/>
                <w:sz w:val="20"/>
                <w:szCs w:val="20"/>
              </w:rPr>
              <w:t>Lobesia</w:t>
            </w:r>
            <w:proofErr w:type="spellEnd"/>
            <w:r w:rsidRPr="001019D8">
              <w:rPr>
                <w:rFonts w:ascii="Verdana" w:hAnsi="Verdana"/>
                <w:sz w:val="20"/>
                <w:szCs w:val="20"/>
              </w:rPr>
              <w:t xml:space="preserve"> </w:t>
            </w:r>
            <w:proofErr w:type="spellStart"/>
            <w:r w:rsidRPr="001019D8">
              <w:rPr>
                <w:rFonts w:ascii="Verdana" w:hAnsi="Verdana"/>
                <w:sz w:val="20"/>
                <w:szCs w:val="20"/>
              </w:rPr>
              <w:t>Botrana</w:t>
            </w:r>
            <w:proofErr w:type="spellEnd"/>
            <w:r w:rsidRPr="001019D8">
              <w:rPr>
                <w:rFonts w:ascii="Verdana" w:hAnsi="Verdana"/>
                <w:sz w:val="20"/>
                <w:szCs w:val="20"/>
              </w:rPr>
              <w:t xml:space="preserve"> en el territorio nacional, de acuerdo a la estrategia técnica establecida.</w:t>
            </w:r>
          </w:p>
        </w:tc>
        <w:tc>
          <w:tcPr>
            <w:tcW w:w="1934" w:type="dxa"/>
            <w:vAlign w:val="center"/>
          </w:tcPr>
          <w:p w14:paraId="6A1F09C9" w14:textId="5161E648" w:rsidR="004711B9" w:rsidRPr="001019D8" w:rsidRDefault="004711B9" w:rsidP="004711B9">
            <w:pPr>
              <w:spacing w:line="259"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1019D8">
              <w:rPr>
                <w:rFonts w:ascii="Verdana" w:hAnsi="Verdana"/>
                <w:sz w:val="20"/>
                <w:szCs w:val="20"/>
              </w:rPr>
              <w:t xml:space="preserve">Porcentaje de detecciones de </w:t>
            </w:r>
            <w:proofErr w:type="spellStart"/>
            <w:r w:rsidRPr="001019D8">
              <w:rPr>
                <w:rFonts w:ascii="Verdana" w:hAnsi="Verdana"/>
                <w:sz w:val="20"/>
                <w:szCs w:val="20"/>
              </w:rPr>
              <w:t>Lobesia</w:t>
            </w:r>
            <w:proofErr w:type="spellEnd"/>
            <w:r w:rsidRPr="001019D8">
              <w:rPr>
                <w:rFonts w:ascii="Verdana" w:hAnsi="Verdana"/>
                <w:sz w:val="20"/>
                <w:szCs w:val="20"/>
              </w:rPr>
              <w:t xml:space="preserve"> </w:t>
            </w:r>
            <w:proofErr w:type="spellStart"/>
            <w:r w:rsidRPr="001019D8">
              <w:rPr>
                <w:rFonts w:ascii="Verdana" w:hAnsi="Verdana"/>
                <w:sz w:val="20"/>
                <w:szCs w:val="20"/>
              </w:rPr>
              <w:t>botrana</w:t>
            </w:r>
            <w:proofErr w:type="spellEnd"/>
            <w:r w:rsidRPr="001019D8">
              <w:rPr>
                <w:rFonts w:ascii="Verdana" w:hAnsi="Verdana"/>
                <w:sz w:val="20"/>
                <w:szCs w:val="20"/>
              </w:rPr>
              <w:t xml:space="preserve"> en predios de vid en el área libre con implementación de vigilancia en el tiempo máximo establecido en el año t.                                                      </w:t>
            </w:r>
          </w:p>
        </w:tc>
        <w:tc>
          <w:tcPr>
            <w:tcW w:w="763" w:type="dxa"/>
            <w:vAlign w:val="center"/>
          </w:tcPr>
          <w:p w14:paraId="43C7528A" w14:textId="77777777" w:rsidR="004711B9" w:rsidRPr="001019D8" w:rsidRDefault="004711B9" w:rsidP="001019D8">
            <w:pPr>
              <w:spacing w:line="259"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1019D8">
              <w:rPr>
                <w:rFonts w:ascii="Verdana" w:eastAsia="Times New Roman" w:hAnsi="Verdana" w:cstheme="minorHAnsi"/>
                <w:sz w:val="20"/>
                <w:szCs w:val="20"/>
                <w:lang w:eastAsia="es-CL"/>
              </w:rPr>
              <w:t>100%</w:t>
            </w:r>
          </w:p>
        </w:tc>
        <w:tc>
          <w:tcPr>
            <w:tcW w:w="866" w:type="dxa"/>
            <w:vAlign w:val="center"/>
          </w:tcPr>
          <w:p w14:paraId="50B64EE6" w14:textId="77777777" w:rsidR="004711B9" w:rsidRPr="001019D8" w:rsidRDefault="004711B9" w:rsidP="001019D8">
            <w:pPr>
              <w:spacing w:line="259" w:lineRule="auto"/>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1019D8">
              <w:rPr>
                <w:rFonts w:ascii="Verdana" w:eastAsia="Times New Roman" w:hAnsi="Verdana" w:cstheme="minorHAnsi"/>
                <w:sz w:val="20"/>
                <w:szCs w:val="20"/>
                <w:lang w:eastAsia="es-CL"/>
              </w:rPr>
              <w:t>4</w:t>
            </w:r>
          </w:p>
        </w:tc>
      </w:tr>
      <w:tr w:rsidR="004711B9" w:rsidRPr="00464CB1" w14:paraId="0B1253A4" w14:textId="77777777" w:rsidTr="00771B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9" w:type="dxa"/>
            <w:vAlign w:val="center"/>
          </w:tcPr>
          <w:p w14:paraId="0EC98527" w14:textId="77777777" w:rsidR="004711B9" w:rsidRPr="001019D8" w:rsidRDefault="004711B9" w:rsidP="003B3EC8">
            <w:pPr>
              <w:spacing w:after="160" w:line="259" w:lineRule="auto"/>
              <w:rPr>
                <w:rFonts w:ascii="Verdana" w:hAnsi="Verdana" w:cstheme="minorHAnsi"/>
                <w:sz w:val="20"/>
                <w:szCs w:val="20"/>
              </w:rPr>
            </w:pPr>
            <w:r w:rsidRPr="001019D8">
              <w:rPr>
                <w:rFonts w:ascii="Verdana" w:eastAsia="Times New Roman" w:hAnsi="Verdana" w:cstheme="minorHAnsi"/>
                <w:sz w:val="20"/>
                <w:szCs w:val="20"/>
                <w:lang w:eastAsia="es-CL"/>
              </w:rPr>
              <w:t xml:space="preserve">Fortalecimiento de la protección del patrimonio </w:t>
            </w:r>
            <w:proofErr w:type="spellStart"/>
            <w:r w:rsidRPr="001019D8">
              <w:rPr>
                <w:rFonts w:ascii="Verdana" w:eastAsia="Times New Roman" w:hAnsi="Verdana" w:cstheme="minorHAnsi"/>
                <w:sz w:val="20"/>
                <w:szCs w:val="20"/>
                <w:lang w:eastAsia="es-CL"/>
              </w:rPr>
              <w:t>fito</w:t>
            </w:r>
            <w:proofErr w:type="spellEnd"/>
            <w:r w:rsidRPr="001019D8">
              <w:rPr>
                <w:rFonts w:ascii="Verdana" w:eastAsia="Times New Roman" w:hAnsi="Verdana" w:cstheme="minorHAnsi"/>
                <w:sz w:val="20"/>
                <w:szCs w:val="20"/>
                <w:lang w:eastAsia="es-CL"/>
              </w:rPr>
              <w:t xml:space="preserve"> y zoosanitario, y recursos naturales renovables.</w:t>
            </w:r>
          </w:p>
        </w:tc>
        <w:tc>
          <w:tcPr>
            <w:tcW w:w="1978" w:type="dxa"/>
            <w:vAlign w:val="center"/>
          </w:tcPr>
          <w:p w14:paraId="6405EBDA" w14:textId="2BDC7AA1" w:rsidR="004711B9" w:rsidRPr="001019D8" w:rsidRDefault="004711B9" w:rsidP="00B7516B">
            <w:p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1019D8">
              <w:rPr>
                <w:rFonts w:ascii="Verdana" w:hAnsi="Verdana"/>
                <w:sz w:val="20"/>
                <w:szCs w:val="20"/>
              </w:rPr>
              <w:t xml:space="preserve">Fortalecer el patrimonio </w:t>
            </w:r>
            <w:proofErr w:type="spellStart"/>
            <w:r w:rsidRPr="001019D8">
              <w:rPr>
                <w:rFonts w:ascii="Verdana" w:hAnsi="Verdana"/>
                <w:sz w:val="20"/>
                <w:szCs w:val="20"/>
              </w:rPr>
              <w:t>fito</w:t>
            </w:r>
            <w:proofErr w:type="spellEnd"/>
            <w:r w:rsidRPr="001019D8">
              <w:rPr>
                <w:rFonts w:ascii="Verdana" w:hAnsi="Verdana"/>
                <w:sz w:val="20"/>
                <w:szCs w:val="20"/>
              </w:rPr>
              <w:t xml:space="preserve"> y zoosanitario del país para apoyar el desarrollo sustentable y competitivo del sector </w:t>
            </w:r>
            <w:proofErr w:type="spellStart"/>
            <w:r w:rsidRPr="001019D8">
              <w:rPr>
                <w:rFonts w:ascii="Verdana" w:hAnsi="Verdana"/>
                <w:sz w:val="20"/>
                <w:szCs w:val="20"/>
              </w:rPr>
              <w:t>silvoagropecuario</w:t>
            </w:r>
            <w:proofErr w:type="spellEnd"/>
            <w:r w:rsidRPr="001019D8">
              <w:rPr>
                <w:rFonts w:ascii="Verdana" w:hAnsi="Verdana"/>
                <w:sz w:val="20"/>
                <w:szCs w:val="20"/>
              </w:rPr>
              <w:t xml:space="preserve"> nacional velando por el cumplimiento de la normativa de </w:t>
            </w:r>
            <w:r w:rsidRPr="001019D8">
              <w:rPr>
                <w:rFonts w:ascii="Verdana" w:hAnsi="Verdana"/>
                <w:sz w:val="20"/>
                <w:szCs w:val="20"/>
              </w:rPr>
              <w:lastRenderedPageBreak/>
              <w:t>los ámbitos de acción del Servicio.</w:t>
            </w:r>
          </w:p>
        </w:tc>
        <w:tc>
          <w:tcPr>
            <w:tcW w:w="1759" w:type="dxa"/>
            <w:vAlign w:val="center"/>
          </w:tcPr>
          <w:p w14:paraId="5235FD5C" w14:textId="77777777" w:rsidR="004711B9" w:rsidRPr="001019D8" w:rsidRDefault="004711B9" w:rsidP="003B3EC8">
            <w:p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1019D8">
              <w:rPr>
                <w:rFonts w:ascii="Verdana" w:hAnsi="Verdana"/>
                <w:sz w:val="20"/>
                <w:szCs w:val="20"/>
              </w:rPr>
              <w:lastRenderedPageBreak/>
              <w:t>Monitorear  Brucelosis bovina, de acuerdo a la estrategia técnica establecida.</w:t>
            </w:r>
          </w:p>
        </w:tc>
        <w:tc>
          <w:tcPr>
            <w:tcW w:w="1934" w:type="dxa"/>
            <w:vAlign w:val="center"/>
          </w:tcPr>
          <w:p w14:paraId="7C45933A" w14:textId="77777777" w:rsidR="004711B9" w:rsidRPr="001019D8" w:rsidRDefault="004711B9" w:rsidP="003B3EC8">
            <w:p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1019D8">
              <w:rPr>
                <w:rFonts w:ascii="Verdana" w:hAnsi="Verdana"/>
                <w:sz w:val="20"/>
                <w:szCs w:val="20"/>
              </w:rPr>
              <w:t>Porcentaje de predios bovinos muestreados para la vigilancia de Brucelosis bovina en el año t respecto de lo programado en el año t.</w:t>
            </w:r>
          </w:p>
        </w:tc>
        <w:tc>
          <w:tcPr>
            <w:tcW w:w="763" w:type="dxa"/>
            <w:vAlign w:val="center"/>
          </w:tcPr>
          <w:p w14:paraId="142E0BFD" w14:textId="77777777" w:rsidR="004711B9" w:rsidRPr="001019D8" w:rsidRDefault="004711B9" w:rsidP="003B3EC8">
            <w:p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1019D8">
              <w:rPr>
                <w:rFonts w:ascii="Verdana" w:eastAsia="Times New Roman" w:hAnsi="Verdana" w:cstheme="minorHAnsi"/>
                <w:sz w:val="20"/>
                <w:szCs w:val="20"/>
                <w:lang w:eastAsia="es-CL"/>
              </w:rPr>
              <w:t>100%</w:t>
            </w:r>
          </w:p>
        </w:tc>
        <w:tc>
          <w:tcPr>
            <w:tcW w:w="866" w:type="dxa"/>
            <w:vAlign w:val="center"/>
          </w:tcPr>
          <w:p w14:paraId="458E9C63" w14:textId="77777777" w:rsidR="004711B9" w:rsidRPr="001019D8" w:rsidRDefault="004711B9" w:rsidP="003B3EC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1019D8">
              <w:rPr>
                <w:rFonts w:ascii="Verdana" w:eastAsia="Times New Roman" w:hAnsi="Verdana" w:cstheme="minorHAnsi"/>
                <w:sz w:val="20"/>
                <w:szCs w:val="20"/>
                <w:lang w:eastAsia="es-CL"/>
              </w:rPr>
              <w:t>5</w:t>
            </w:r>
          </w:p>
        </w:tc>
      </w:tr>
      <w:tr w:rsidR="004711B9" w:rsidRPr="00464CB1" w14:paraId="4D65C2C7" w14:textId="77777777" w:rsidTr="00771B5C">
        <w:tc>
          <w:tcPr>
            <w:cnfStyle w:val="001000000000" w:firstRow="0" w:lastRow="0" w:firstColumn="1" w:lastColumn="0" w:oddVBand="0" w:evenVBand="0" w:oddHBand="0" w:evenHBand="0" w:firstRowFirstColumn="0" w:firstRowLastColumn="0" w:lastRowFirstColumn="0" w:lastRowLastColumn="0"/>
            <w:tcW w:w="1979" w:type="dxa"/>
            <w:vAlign w:val="center"/>
          </w:tcPr>
          <w:p w14:paraId="25BCA189" w14:textId="77777777" w:rsidR="004711B9" w:rsidRPr="001019D8" w:rsidRDefault="004711B9" w:rsidP="00464CB1">
            <w:pPr>
              <w:spacing w:line="259" w:lineRule="auto"/>
              <w:rPr>
                <w:rFonts w:ascii="Verdana" w:hAnsi="Verdana" w:cstheme="minorHAnsi"/>
                <w:sz w:val="20"/>
                <w:szCs w:val="20"/>
              </w:rPr>
            </w:pPr>
            <w:r w:rsidRPr="001019D8">
              <w:rPr>
                <w:rFonts w:ascii="Verdana" w:eastAsia="Times New Roman" w:hAnsi="Verdana" w:cstheme="minorHAnsi"/>
                <w:sz w:val="20"/>
                <w:szCs w:val="20"/>
                <w:lang w:eastAsia="es-CL"/>
              </w:rPr>
              <w:t xml:space="preserve">Fortalecimiento de la protección del patrimonio </w:t>
            </w:r>
            <w:proofErr w:type="spellStart"/>
            <w:r w:rsidRPr="001019D8">
              <w:rPr>
                <w:rFonts w:ascii="Verdana" w:eastAsia="Times New Roman" w:hAnsi="Verdana" w:cstheme="minorHAnsi"/>
                <w:sz w:val="20"/>
                <w:szCs w:val="20"/>
                <w:lang w:eastAsia="es-CL"/>
              </w:rPr>
              <w:t>fito</w:t>
            </w:r>
            <w:proofErr w:type="spellEnd"/>
            <w:r w:rsidRPr="001019D8">
              <w:rPr>
                <w:rFonts w:ascii="Verdana" w:eastAsia="Times New Roman" w:hAnsi="Verdana" w:cstheme="minorHAnsi"/>
                <w:sz w:val="20"/>
                <w:szCs w:val="20"/>
                <w:lang w:eastAsia="es-CL"/>
              </w:rPr>
              <w:t xml:space="preserve"> y zoosanitario, y recursos naturales renovables.</w:t>
            </w:r>
          </w:p>
        </w:tc>
        <w:tc>
          <w:tcPr>
            <w:tcW w:w="1978" w:type="dxa"/>
            <w:vAlign w:val="center"/>
          </w:tcPr>
          <w:p w14:paraId="508DD085" w14:textId="77777777" w:rsidR="004711B9" w:rsidRPr="001019D8" w:rsidRDefault="004711B9" w:rsidP="00464CB1">
            <w:pPr>
              <w:spacing w:line="259"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1019D8">
              <w:rPr>
                <w:rFonts w:ascii="Verdana" w:eastAsia="Times New Roman" w:hAnsi="Verdana" w:cstheme="minorHAnsi"/>
                <w:sz w:val="20"/>
                <w:szCs w:val="20"/>
                <w:lang w:eastAsia="es-CL"/>
              </w:rPr>
              <w:t xml:space="preserve">Fortalecer el patrimonio </w:t>
            </w:r>
            <w:proofErr w:type="spellStart"/>
            <w:r w:rsidRPr="001019D8">
              <w:rPr>
                <w:rFonts w:ascii="Verdana" w:eastAsia="Times New Roman" w:hAnsi="Verdana" w:cstheme="minorHAnsi"/>
                <w:sz w:val="20"/>
                <w:szCs w:val="20"/>
                <w:lang w:eastAsia="es-CL"/>
              </w:rPr>
              <w:t>fito</w:t>
            </w:r>
            <w:proofErr w:type="spellEnd"/>
            <w:r w:rsidRPr="001019D8">
              <w:rPr>
                <w:rFonts w:ascii="Verdana" w:eastAsia="Times New Roman" w:hAnsi="Verdana" w:cstheme="minorHAnsi"/>
                <w:sz w:val="20"/>
                <w:szCs w:val="20"/>
                <w:lang w:eastAsia="es-CL"/>
              </w:rPr>
              <w:t xml:space="preserve"> y zoosanitario del país para apoyar el desarrollo sustentable y competitivo del sector </w:t>
            </w:r>
            <w:proofErr w:type="spellStart"/>
            <w:r w:rsidRPr="001019D8">
              <w:rPr>
                <w:rFonts w:ascii="Verdana" w:eastAsia="Times New Roman" w:hAnsi="Verdana" w:cstheme="minorHAnsi"/>
                <w:sz w:val="20"/>
                <w:szCs w:val="20"/>
                <w:lang w:eastAsia="es-CL"/>
              </w:rPr>
              <w:t>silvoagropecuario</w:t>
            </w:r>
            <w:proofErr w:type="spellEnd"/>
            <w:r w:rsidRPr="001019D8">
              <w:rPr>
                <w:rFonts w:ascii="Verdana" w:eastAsia="Times New Roman" w:hAnsi="Verdana" w:cstheme="minorHAnsi"/>
                <w:sz w:val="20"/>
                <w:szCs w:val="20"/>
                <w:lang w:eastAsia="es-CL"/>
              </w:rPr>
              <w:t xml:space="preserve"> nacional velando por el cumplimiento de la normativa de los ámbitos de acción del Servicio.</w:t>
            </w:r>
          </w:p>
        </w:tc>
        <w:tc>
          <w:tcPr>
            <w:tcW w:w="1759" w:type="dxa"/>
            <w:vAlign w:val="center"/>
          </w:tcPr>
          <w:p w14:paraId="6B8570A8" w14:textId="77777777" w:rsidR="004711B9" w:rsidRPr="001019D8" w:rsidRDefault="004711B9" w:rsidP="00464CB1">
            <w:pPr>
              <w:spacing w:line="259"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1019D8">
              <w:rPr>
                <w:rFonts w:ascii="Verdana" w:eastAsia="Times New Roman" w:hAnsi="Verdana" w:cstheme="minorHAnsi"/>
                <w:sz w:val="20"/>
                <w:szCs w:val="20"/>
                <w:lang w:eastAsia="es-CL"/>
              </w:rPr>
              <w:t>Erradicar eventos de Moscas de la fruta de importancia económica.</w:t>
            </w:r>
          </w:p>
        </w:tc>
        <w:tc>
          <w:tcPr>
            <w:tcW w:w="1934" w:type="dxa"/>
            <w:vAlign w:val="center"/>
          </w:tcPr>
          <w:p w14:paraId="793FBDE9" w14:textId="77777777" w:rsidR="004711B9" w:rsidRPr="001019D8" w:rsidRDefault="004711B9" w:rsidP="00464CB1">
            <w:pPr>
              <w:spacing w:line="259"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1019D8">
              <w:rPr>
                <w:rFonts w:ascii="Verdana" w:eastAsia="Times New Roman" w:hAnsi="Verdana" w:cstheme="minorHAnsi"/>
                <w:sz w:val="20"/>
                <w:szCs w:val="20"/>
                <w:lang w:eastAsia="es-CL"/>
              </w:rPr>
              <w:t xml:space="preserve">Porcentaje de eventos de Moscas de la Fruta confirmados erradicados respecto a los detectados.  </w:t>
            </w:r>
          </w:p>
        </w:tc>
        <w:tc>
          <w:tcPr>
            <w:tcW w:w="763" w:type="dxa"/>
            <w:vAlign w:val="center"/>
          </w:tcPr>
          <w:p w14:paraId="1D658E9B" w14:textId="77777777" w:rsidR="004711B9" w:rsidRPr="001019D8" w:rsidRDefault="004711B9" w:rsidP="00464CB1">
            <w:pPr>
              <w:spacing w:line="259"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1019D8">
              <w:rPr>
                <w:rFonts w:ascii="Verdana" w:eastAsia="Times New Roman" w:hAnsi="Verdana" w:cstheme="minorHAnsi"/>
                <w:sz w:val="20"/>
                <w:szCs w:val="20"/>
                <w:lang w:eastAsia="es-CL"/>
              </w:rPr>
              <w:t>100%</w:t>
            </w:r>
          </w:p>
        </w:tc>
        <w:tc>
          <w:tcPr>
            <w:tcW w:w="866" w:type="dxa"/>
            <w:vAlign w:val="center"/>
          </w:tcPr>
          <w:p w14:paraId="5C1C86A1" w14:textId="77777777" w:rsidR="004711B9" w:rsidRPr="001019D8" w:rsidRDefault="004711B9" w:rsidP="00464CB1">
            <w:pPr>
              <w:spacing w:line="259" w:lineRule="auto"/>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1019D8">
              <w:rPr>
                <w:rFonts w:ascii="Verdana" w:eastAsia="Times New Roman" w:hAnsi="Verdana" w:cstheme="minorHAnsi"/>
                <w:sz w:val="20"/>
                <w:szCs w:val="20"/>
                <w:lang w:eastAsia="es-CL"/>
              </w:rPr>
              <w:t>6</w:t>
            </w:r>
          </w:p>
        </w:tc>
      </w:tr>
      <w:tr w:rsidR="004711B9" w:rsidRPr="00464CB1" w14:paraId="2280F15A" w14:textId="77777777" w:rsidTr="00771B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9" w:type="dxa"/>
            <w:vAlign w:val="center"/>
          </w:tcPr>
          <w:p w14:paraId="71AFBE3A" w14:textId="01077A9D" w:rsidR="004711B9" w:rsidRPr="001019D8" w:rsidRDefault="004711B9" w:rsidP="00771B5C">
            <w:pPr>
              <w:spacing w:line="259" w:lineRule="auto"/>
              <w:rPr>
                <w:rFonts w:ascii="Verdana" w:hAnsi="Verdana" w:cstheme="minorHAnsi"/>
                <w:sz w:val="20"/>
                <w:szCs w:val="20"/>
              </w:rPr>
            </w:pPr>
            <w:r w:rsidRPr="001019D8">
              <w:rPr>
                <w:rFonts w:ascii="Verdana" w:eastAsia="Times New Roman" w:hAnsi="Verdana" w:cstheme="minorHAnsi"/>
                <w:sz w:val="20"/>
                <w:szCs w:val="20"/>
                <w:lang w:eastAsia="es-CL"/>
              </w:rPr>
              <w:t>Fortalecimiento del rol</w:t>
            </w:r>
            <w:r w:rsidR="00771B5C">
              <w:rPr>
                <w:rFonts w:ascii="Verdana" w:eastAsia="Times New Roman" w:hAnsi="Verdana" w:cstheme="minorHAnsi"/>
                <w:sz w:val="20"/>
                <w:szCs w:val="20"/>
                <w:lang w:eastAsia="es-CL"/>
              </w:rPr>
              <w:t xml:space="preserve"> </w:t>
            </w:r>
            <w:r w:rsidRPr="001019D8">
              <w:rPr>
                <w:rFonts w:ascii="Verdana" w:eastAsia="Times New Roman" w:hAnsi="Verdana" w:cstheme="minorHAnsi"/>
                <w:sz w:val="20"/>
                <w:szCs w:val="20"/>
                <w:lang w:eastAsia="es-CL"/>
              </w:rPr>
              <w:t>fiscalizador</w:t>
            </w:r>
            <w:r w:rsidR="00771B5C">
              <w:rPr>
                <w:rFonts w:ascii="Verdana" w:eastAsia="Times New Roman" w:hAnsi="Verdana" w:cstheme="minorHAnsi"/>
                <w:sz w:val="20"/>
                <w:szCs w:val="20"/>
                <w:lang w:eastAsia="es-CL"/>
              </w:rPr>
              <w:t xml:space="preserve"> </w:t>
            </w:r>
            <w:r w:rsidRPr="001019D8">
              <w:rPr>
                <w:rFonts w:ascii="Verdana" w:eastAsia="Times New Roman" w:hAnsi="Verdana" w:cstheme="minorHAnsi"/>
                <w:sz w:val="20"/>
                <w:szCs w:val="20"/>
                <w:lang w:eastAsia="es-CL"/>
              </w:rPr>
              <w:t>del SAG.</w:t>
            </w:r>
          </w:p>
        </w:tc>
        <w:tc>
          <w:tcPr>
            <w:tcW w:w="1978" w:type="dxa"/>
            <w:vAlign w:val="center"/>
          </w:tcPr>
          <w:p w14:paraId="7E21BCD0" w14:textId="77777777" w:rsidR="004711B9" w:rsidRPr="001019D8" w:rsidRDefault="004711B9" w:rsidP="00464CB1">
            <w:p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1019D8">
              <w:rPr>
                <w:rFonts w:ascii="Verdana" w:eastAsia="Times New Roman" w:hAnsi="Verdana" w:cstheme="minorHAnsi"/>
                <w:sz w:val="20"/>
                <w:szCs w:val="20"/>
                <w:lang w:eastAsia="es-CL"/>
              </w:rPr>
              <w:t>Potenciar el rol fiscalizador el SAG.</w:t>
            </w:r>
          </w:p>
        </w:tc>
        <w:tc>
          <w:tcPr>
            <w:tcW w:w="1759" w:type="dxa"/>
            <w:vAlign w:val="center"/>
          </w:tcPr>
          <w:p w14:paraId="6F55809B" w14:textId="77777777" w:rsidR="004711B9" w:rsidRPr="001019D8" w:rsidRDefault="004711B9" w:rsidP="00464CB1">
            <w:p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1019D8">
              <w:rPr>
                <w:rFonts w:ascii="Verdana" w:eastAsia="Times New Roman" w:hAnsi="Verdana" w:cstheme="minorHAnsi"/>
                <w:sz w:val="20"/>
                <w:szCs w:val="20"/>
                <w:lang w:eastAsia="es-CL"/>
              </w:rPr>
              <w:t>Dar cumplimiento al Plan de Fiscalización.</w:t>
            </w:r>
          </w:p>
        </w:tc>
        <w:tc>
          <w:tcPr>
            <w:tcW w:w="1934" w:type="dxa"/>
            <w:vAlign w:val="center"/>
          </w:tcPr>
          <w:p w14:paraId="3E339CB1" w14:textId="0BA0E2D5" w:rsidR="004711B9" w:rsidRPr="001019D8" w:rsidRDefault="004711B9" w:rsidP="00771B5C">
            <w:p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1019D8">
              <w:rPr>
                <w:rFonts w:ascii="Verdana" w:eastAsia="Times New Roman" w:hAnsi="Verdana" w:cstheme="minorHAnsi"/>
                <w:sz w:val="20"/>
                <w:szCs w:val="20"/>
                <w:lang w:eastAsia="es-CL"/>
              </w:rPr>
              <w:t>Porcentaje de cumplimiento del plan anual de</w:t>
            </w:r>
            <w:r w:rsidR="00771B5C">
              <w:rPr>
                <w:rFonts w:ascii="Verdana" w:eastAsia="Times New Roman" w:hAnsi="Verdana" w:cstheme="minorHAnsi"/>
                <w:sz w:val="20"/>
                <w:szCs w:val="20"/>
                <w:lang w:eastAsia="es-CL"/>
              </w:rPr>
              <w:t xml:space="preserve"> </w:t>
            </w:r>
            <w:r>
              <w:rPr>
                <w:rFonts w:ascii="Verdana" w:eastAsia="Times New Roman" w:hAnsi="Verdana" w:cstheme="minorHAnsi"/>
                <w:sz w:val="20"/>
                <w:szCs w:val="20"/>
                <w:lang w:eastAsia="es-CL"/>
              </w:rPr>
              <w:t>f</w:t>
            </w:r>
            <w:r w:rsidRPr="001019D8">
              <w:rPr>
                <w:rFonts w:ascii="Verdana" w:eastAsia="Times New Roman" w:hAnsi="Verdana" w:cstheme="minorHAnsi"/>
                <w:sz w:val="20"/>
                <w:szCs w:val="20"/>
                <w:lang w:eastAsia="es-CL"/>
              </w:rPr>
              <w:t>iscalización </w:t>
            </w:r>
          </w:p>
        </w:tc>
        <w:tc>
          <w:tcPr>
            <w:tcW w:w="763" w:type="dxa"/>
            <w:vAlign w:val="center"/>
          </w:tcPr>
          <w:p w14:paraId="5D0EF8CF" w14:textId="77777777" w:rsidR="004711B9" w:rsidRPr="001019D8" w:rsidRDefault="004711B9" w:rsidP="00464CB1">
            <w:p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1019D8">
              <w:rPr>
                <w:rFonts w:ascii="Verdana" w:eastAsia="Times New Roman" w:hAnsi="Verdana" w:cstheme="minorHAnsi"/>
                <w:sz w:val="20"/>
                <w:szCs w:val="20"/>
                <w:lang w:eastAsia="es-CL"/>
              </w:rPr>
              <w:t>100%</w:t>
            </w:r>
          </w:p>
        </w:tc>
        <w:tc>
          <w:tcPr>
            <w:tcW w:w="866" w:type="dxa"/>
            <w:vAlign w:val="center"/>
          </w:tcPr>
          <w:p w14:paraId="226BF41E" w14:textId="77777777" w:rsidR="004711B9" w:rsidRPr="001019D8" w:rsidRDefault="004711B9" w:rsidP="00464CB1">
            <w:pPr>
              <w:spacing w:line="259" w:lineRule="auto"/>
              <w:jc w:val="center"/>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1019D8">
              <w:rPr>
                <w:rFonts w:ascii="Verdana" w:eastAsia="Times New Roman" w:hAnsi="Verdana" w:cstheme="minorHAnsi"/>
                <w:sz w:val="20"/>
                <w:szCs w:val="20"/>
                <w:lang w:eastAsia="es-CL"/>
              </w:rPr>
              <w:t>7</w:t>
            </w:r>
          </w:p>
        </w:tc>
      </w:tr>
      <w:tr w:rsidR="004711B9" w:rsidRPr="00464CB1" w14:paraId="3188781D" w14:textId="77777777" w:rsidTr="00771B5C">
        <w:trPr>
          <w:trHeight w:val="2844"/>
        </w:trPr>
        <w:tc>
          <w:tcPr>
            <w:cnfStyle w:val="001000000000" w:firstRow="0" w:lastRow="0" w:firstColumn="1" w:lastColumn="0" w:oddVBand="0" w:evenVBand="0" w:oddHBand="0" w:evenHBand="0" w:firstRowFirstColumn="0" w:firstRowLastColumn="0" w:lastRowFirstColumn="0" w:lastRowLastColumn="0"/>
            <w:tcW w:w="1979" w:type="dxa"/>
            <w:vAlign w:val="center"/>
          </w:tcPr>
          <w:p w14:paraId="6FE6A6E3" w14:textId="77777777" w:rsidR="004711B9" w:rsidRPr="001019D8" w:rsidRDefault="004711B9" w:rsidP="00464CB1">
            <w:pPr>
              <w:spacing w:line="259" w:lineRule="auto"/>
              <w:rPr>
                <w:rFonts w:ascii="Verdana" w:hAnsi="Verdana" w:cstheme="minorHAnsi"/>
                <w:sz w:val="20"/>
                <w:szCs w:val="20"/>
              </w:rPr>
            </w:pPr>
            <w:r w:rsidRPr="001019D8">
              <w:rPr>
                <w:rFonts w:ascii="Verdana" w:eastAsia="Times New Roman" w:hAnsi="Verdana" w:cstheme="minorHAnsi"/>
                <w:sz w:val="20"/>
                <w:szCs w:val="20"/>
                <w:lang w:eastAsia="es-CL"/>
              </w:rPr>
              <w:t>SAG facilitador y garante del comercio exterior.</w:t>
            </w:r>
          </w:p>
        </w:tc>
        <w:tc>
          <w:tcPr>
            <w:tcW w:w="1978" w:type="dxa"/>
            <w:vAlign w:val="center"/>
          </w:tcPr>
          <w:p w14:paraId="7E9D3478" w14:textId="77777777" w:rsidR="004711B9" w:rsidRPr="001019D8" w:rsidRDefault="004711B9" w:rsidP="00464CB1">
            <w:pPr>
              <w:spacing w:line="259"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1019D8">
              <w:rPr>
                <w:rFonts w:ascii="Verdana" w:eastAsia="Times New Roman" w:hAnsi="Verdana" w:cstheme="minorHAnsi"/>
                <w:sz w:val="20"/>
                <w:szCs w:val="20"/>
                <w:lang w:eastAsia="es-CL"/>
              </w:rPr>
              <w:t xml:space="preserve">Consolidar al SAG como una autoridad </w:t>
            </w:r>
            <w:proofErr w:type="spellStart"/>
            <w:r w:rsidRPr="001019D8">
              <w:rPr>
                <w:rFonts w:ascii="Verdana" w:eastAsia="Times New Roman" w:hAnsi="Verdana" w:cstheme="minorHAnsi"/>
                <w:sz w:val="20"/>
                <w:szCs w:val="20"/>
                <w:lang w:eastAsia="es-CL"/>
              </w:rPr>
              <w:t>fito</w:t>
            </w:r>
            <w:proofErr w:type="spellEnd"/>
            <w:r w:rsidRPr="001019D8">
              <w:rPr>
                <w:rFonts w:ascii="Verdana" w:eastAsia="Times New Roman" w:hAnsi="Verdana" w:cstheme="minorHAnsi"/>
                <w:sz w:val="20"/>
                <w:szCs w:val="20"/>
                <w:lang w:eastAsia="es-CL"/>
              </w:rPr>
              <w:t xml:space="preserve"> y zoosanitaria capaz de apoyar la apertura y mantención de mercados.</w:t>
            </w:r>
          </w:p>
        </w:tc>
        <w:tc>
          <w:tcPr>
            <w:tcW w:w="1759" w:type="dxa"/>
            <w:vAlign w:val="center"/>
          </w:tcPr>
          <w:p w14:paraId="6FF2CFE9" w14:textId="77777777" w:rsidR="004711B9" w:rsidRPr="001019D8" w:rsidRDefault="004711B9" w:rsidP="00464CB1">
            <w:pPr>
              <w:spacing w:line="259"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1019D8">
              <w:rPr>
                <w:rFonts w:ascii="Verdana" w:eastAsia="Times New Roman" w:hAnsi="Verdana" w:cstheme="minorHAnsi"/>
                <w:sz w:val="20"/>
                <w:szCs w:val="20"/>
                <w:lang w:eastAsia="es-CL"/>
              </w:rPr>
              <w:t xml:space="preserve">Reducir re emisiones de certificados </w:t>
            </w:r>
            <w:proofErr w:type="spellStart"/>
            <w:r w:rsidRPr="001019D8">
              <w:rPr>
                <w:rFonts w:ascii="Verdana" w:eastAsia="Times New Roman" w:hAnsi="Verdana" w:cstheme="minorHAnsi"/>
                <w:sz w:val="20"/>
                <w:szCs w:val="20"/>
                <w:lang w:eastAsia="es-CL"/>
              </w:rPr>
              <w:t>fito</w:t>
            </w:r>
            <w:proofErr w:type="spellEnd"/>
            <w:r w:rsidRPr="001019D8">
              <w:rPr>
                <w:rFonts w:ascii="Verdana" w:eastAsia="Times New Roman" w:hAnsi="Verdana" w:cstheme="minorHAnsi"/>
                <w:sz w:val="20"/>
                <w:szCs w:val="20"/>
                <w:lang w:eastAsia="es-CL"/>
              </w:rPr>
              <w:t xml:space="preserve"> y zoosanitarios de exportación por causa SAG.</w:t>
            </w:r>
          </w:p>
        </w:tc>
        <w:tc>
          <w:tcPr>
            <w:tcW w:w="1934" w:type="dxa"/>
            <w:vAlign w:val="center"/>
          </w:tcPr>
          <w:p w14:paraId="511F0246" w14:textId="1960C884" w:rsidR="004711B9" w:rsidRPr="001019D8" w:rsidRDefault="004711B9" w:rsidP="00464CB1">
            <w:pPr>
              <w:spacing w:line="259"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1019D8">
              <w:rPr>
                <w:rFonts w:ascii="Verdana" w:eastAsia="Times New Roman" w:hAnsi="Verdana" w:cstheme="minorHAnsi"/>
                <w:sz w:val="20"/>
                <w:szCs w:val="20"/>
                <w:lang w:eastAsia="es-CL"/>
              </w:rPr>
              <w:t xml:space="preserve">Porcentaje certificados </w:t>
            </w:r>
            <w:proofErr w:type="spellStart"/>
            <w:r w:rsidRPr="001019D8">
              <w:rPr>
                <w:rFonts w:ascii="Verdana" w:eastAsia="Times New Roman" w:hAnsi="Verdana" w:cstheme="minorHAnsi"/>
                <w:sz w:val="20"/>
                <w:szCs w:val="20"/>
                <w:lang w:eastAsia="es-CL"/>
              </w:rPr>
              <w:t>fito</w:t>
            </w:r>
            <w:proofErr w:type="spellEnd"/>
            <w:r w:rsidRPr="001019D8">
              <w:rPr>
                <w:rFonts w:ascii="Verdana" w:eastAsia="Times New Roman" w:hAnsi="Verdana" w:cstheme="minorHAnsi"/>
                <w:sz w:val="20"/>
                <w:szCs w:val="20"/>
                <w:lang w:eastAsia="es-CL"/>
              </w:rPr>
              <w:t xml:space="preserve"> y zoosanitarios reemitidos por causa SAG y documentos aclaratorios emitidos por causa SAG asociados al proceso certificación exportaciones año t respecto a total certificados </w:t>
            </w:r>
            <w:proofErr w:type="spellStart"/>
            <w:r w:rsidRPr="001019D8">
              <w:rPr>
                <w:rFonts w:ascii="Verdana" w:eastAsia="Times New Roman" w:hAnsi="Verdana" w:cstheme="minorHAnsi"/>
                <w:sz w:val="20"/>
                <w:szCs w:val="20"/>
                <w:lang w:eastAsia="es-CL"/>
              </w:rPr>
              <w:t>fito</w:t>
            </w:r>
            <w:proofErr w:type="spellEnd"/>
            <w:r w:rsidRPr="001019D8">
              <w:rPr>
                <w:rFonts w:ascii="Verdana" w:eastAsia="Times New Roman" w:hAnsi="Verdana" w:cstheme="minorHAnsi"/>
                <w:sz w:val="20"/>
                <w:szCs w:val="20"/>
                <w:lang w:eastAsia="es-CL"/>
              </w:rPr>
              <w:t xml:space="preserve"> y zoosanitarios expor</w:t>
            </w:r>
            <w:r>
              <w:rPr>
                <w:rFonts w:ascii="Verdana" w:eastAsia="Times New Roman" w:hAnsi="Verdana" w:cstheme="minorHAnsi"/>
                <w:sz w:val="20"/>
                <w:szCs w:val="20"/>
                <w:lang w:eastAsia="es-CL"/>
              </w:rPr>
              <w:t>tación emitidos año t</w:t>
            </w:r>
            <w:r w:rsidRPr="001019D8">
              <w:rPr>
                <w:rFonts w:ascii="Verdana" w:eastAsia="Times New Roman" w:hAnsi="Verdana" w:cstheme="minorHAnsi"/>
                <w:sz w:val="20"/>
                <w:szCs w:val="20"/>
                <w:lang w:eastAsia="es-CL"/>
              </w:rPr>
              <w:t>.  </w:t>
            </w:r>
          </w:p>
        </w:tc>
        <w:tc>
          <w:tcPr>
            <w:tcW w:w="763" w:type="dxa"/>
            <w:vAlign w:val="center"/>
          </w:tcPr>
          <w:p w14:paraId="2DA70F2C" w14:textId="77777777" w:rsidR="004711B9" w:rsidRPr="001019D8" w:rsidRDefault="004711B9" w:rsidP="00464CB1">
            <w:pPr>
              <w:spacing w:line="259"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1019D8">
              <w:rPr>
                <w:rFonts w:ascii="Verdana" w:eastAsia="Times New Roman" w:hAnsi="Verdana" w:cstheme="minorHAnsi"/>
                <w:sz w:val="20"/>
                <w:szCs w:val="20"/>
                <w:lang w:eastAsia="es-CL"/>
              </w:rPr>
              <w:t>0,19%</w:t>
            </w:r>
          </w:p>
        </w:tc>
        <w:tc>
          <w:tcPr>
            <w:tcW w:w="866" w:type="dxa"/>
            <w:vAlign w:val="center"/>
          </w:tcPr>
          <w:p w14:paraId="7CFDD95B" w14:textId="77777777" w:rsidR="004711B9" w:rsidRPr="001019D8" w:rsidRDefault="004711B9" w:rsidP="00464CB1">
            <w:pPr>
              <w:spacing w:line="259" w:lineRule="auto"/>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1019D8">
              <w:rPr>
                <w:rFonts w:ascii="Verdana" w:eastAsia="Times New Roman" w:hAnsi="Verdana" w:cstheme="minorHAnsi"/>
                <w:sz w:val="20"/>
                <w:szCs w:val="20"/>
                <w:lang w:eastAsia="es-CL"/>
              </w:rPr>
              <w:t>8</w:t>
            </w:r>
          </w:p>
        </w:tc>
      </w:tr>
      <w:tr w:rsidR="004711B9" w:rsidRPr="00464CB1" w14:paraId="40F7CFE4" w14:textId="77777777" w:rsidTr="00771B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9" w:type="dxa"/>
            <w:vAlign w:val="center"/>
          </w:tcPr>
          <w:p w14:paraId="27377C92" w14:textId="77777777" w:rsidR="004711B9" w:rsidRPr="001019D8" w:rsidRDefault="004711B9" w:rsidP="00464CB1">
            <w:pPr>
              <w:spacing w:line="259" w:lineRule="auto"/>
              <w:rPr>
                <w:rFonts w:ascii="Verdana" w:hAnsi="Verdana" w:cstheme="minorHAnsi"/>
                <w:sz w:val="20"/>
                <w:szCs w:val="20"/>
              </w:rPr>
            </w:pPr>
            <w:r w:rsidRPr="001019D8">
              <w:rPr>
                <w:rFonts w:ascii="Verdana" w:eastAsia="Times New Roman" w:hAnsi="Verdana" w:cstheme="minorHAnsi"/>
                <w:sz w:val="20"/>
                <w:szCs w:val="20"/>
                <w:lang w:eastAsia="es-CL"/>
              </w:rPr>
              <w:lastRenderedPageBreak/>
              <w:t>Personas comprometidas con la excelencia operacional.</w:t>
            </w:r>
          </w:p>
        </w:tc>
        <w:tc>
          <w:tcPr>
            <w:tcW w:w="1978" w:type="dxa"/>
            <w:vAlign w:val="center"/>
          </w:tcPr>
          <w:p w14:paraId="0C88F5FA" w14:textId="25F29D1E" w:rsidR="004711B9" w:rsidRDefault="004711B9" w:rsidP="00464CB1">
            <w:pPr>
              <w:spacing w:line="259"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heme="minorHAnsi"/>
                <w:sz w:val="20"/>
                <w:szCs w:val="20"/>
                <w:lang w:eastAsia="es-CL"/>
              </w:rPr>
            </w:pPr>
            <w:r w:rsidRPr="001019D8">
              <w:rPr>
                <w:rFonts w:ascii="Verdana" w:eastAsia="Times New Roman" w:hAnsi="Verdana" w:cstheme="minorHAnsi"/>
                <w:sz w:val="20"/>
                <w:szCs w:val="20"/>
                <w:lang w:eastAsia="es-CL"/>
              </w:rPr>
              <w:t>Simplificar y agilizar la gestión de los servicios entregados para una mejor y oportuna atención a usuarios/as, a través de la generación y actualización de normativas y procedimientos.</w:t>
            </w:r>
          </w:p>
          <w:p w14:paraId="16B2B666" w14:textId="231C377A" w:rsidR="004711B9" w:rsidRPr="001019D8" w:rsidRDefault="004711B9" w:rsidP="00464CB1">
            <w:p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p>
        </w:tc>
        <w:tc>
          <w:tcPr>
            <w:tcW w:w="1759" w:type="dxa"/>
            <w:vAlign w:val="center"/>
          </w:tcPr>
          <w:p w14:paraId="610C13DC" w14:textId="77777777" w:rsidR="004711B9" w:rsidRPr="001019D8" w:rsidRDefault="004711B9" w:rsidP="00464CB1">
            <w:p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1019D8">
              <w:rPr>
                <w:rFonts w:ascii="Verdana" w:eastAsia="Times New Roman" w:hAnsi="Verdana" w:cstheme="minorHAnsi"/>
                <w:sz w:val="20"/>
                <w:szCs w:val="20"/>
                <w:lang w:eastAsia="es-CL"/>
              </w:rPr>
              <w:t>Mejorar la satisfacción de los usuarios de los procesos insertos en el Sistema de Gestión de la Calidad.</w:t>
            </w:r>
          </w:p>
        </w:tc>
        <w:tc>
          <w:tcPr>
            <w:tcW w:w="1934" w:type="dxa"/>
            <w:vAlign w:val="center"/>
          </w:tcPr>
          <w:p w14:paraId="2762D097" w14:textId="77777777" w:rsidR="004711B9" w:rsidRPr="001019D8" w:rsidRDefault="004711B9" w:rsidP="00464CB1">
            <w:p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1019D8">
              <w:rPr>
                <w:rFonts w:ascii="Verdana" w:eastAsia="Times New Roman" w:hAnsi="Verdana" w:cstheme="minorHAnsi"/>
                <w:sz w:val="20"/>
                <w:szCs w:val="20"/>
                <w:lang w:eastAsia="es-CL"/>
              </w:rPr>
              <w:t>Porcentaje de procesos con nota promedio en Evaluación General,  igual o superior a 5,9 en el año t, en relación al total de procesos con medición en el año t.</w:t>
            </w:r>
          </w:p>
        </w:tc>
        <w:tc>
          <w:tcPr>
            <w:tcW w:w="763" w:type="dxa"/>
            <w:vAlign w:val="center"/>
          </w:tcPr>
          <w:p w14:paraId="14E8F964" w14:textId="77777777" w:rsidR="004711B9" w:rsidRPr="001019D8" w:rsidRDefault="004711B9" w:rsidP="00464CB1">
            <w:pPr>
              <w:spacing w:line="259"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1019D8">
              <w:rPr>
                <w:rFonts w:ascii="Verdana" w:eastAsia="Times New Roman" w:hAnsi="Verdana" w:cstheme="minorHAnsi"/>
                <w:sz w:val="20"/>
                <w:szCs w:val="20"/>
                <w:lang w:eastAsia="es-CL"/>
              </w:rPr>
              <w:t>70%</w:t>
            </w:r>
          </w:p>
        </w:tc>
        <w:tc>
          <w:tcPr>
            <w:tcW w:w="866" w:type="dxa"/>
            <w:vAlign w:val="center"/>
          </w:tcPr>
          <w:p w14:paraId="48B41E36" w14:textId="77777777" w:rsidR="004711B9" w:rsidRPr="001019D8" w:rsidRDefault="004711B9" w:rsidP="00464CB1">
            <w:pPr>
              <w:spacing w:line="259" w:lineRule="auto"/>
              <w:jc w:val="center"/>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1019D8">
              <w:rPr>
                <w:rFonts w:ascii="Verdana" w:eastAsia="Times New Roman" w:hAnsi="Verdana" w:cstheme="minorHAnsi"/>
                <w:sz w:val="20"/>
                <w:szCs w:val="20"/>
                <w:lang w:eastAsia="es-CL"/>
              </w:rPr>
              <w:t>9</w:t>
            </w:r>
          </w:p>
        </w:tc>
      </w:tr>
      <w:tr w:rsidR="004711B9" w:rsidRPr="00464CB1" w14:paraId="6452F3E7" w14:textId="77777777" w:rsidTr="00771B5C">
        <w:tc>
          <w:tcPr>
            <w:cnfStyle w:val="001000000000" w:firstRow="0" w:lastRow="0" w:firstColumn="1" w:lastColumn="0" w:oddVBand="0" w:evenVBand="0" w:oddHBand="0" w:evenHBand="0" w:firstRowFirstColumn="0" w:firstRowLastColumn="0" w:lastRowFirstColumn="0" w:lastRowLastColumn="0"/>
            <w:tcW w:w="1979" w:type="dxa"/>
            <w:vAlign w:val="center"/>
          </w:tcPr>
          <w:p w14:paraId="5A0151C7" w14:textId="77777777" w:rsidR="004711B9" w:rsidRPr="001019D8" w:rsidRDefault="004711B9" w:rsidP="00464CB1">
            <w:pPr>
              <w:spacing w:after="160" w:line="259" w:lineRule="auto"/>
              <w:rPr>
                <w:rFonts w:ascii="Verdana" w:hAnsi="Verdana" w:cstheme="minorHAnsi"/>
                <w:sz w:val="20"/>
                <w:szCs w:val="20"/>
              </w:rPr>
            </w:pPr>
            <w:r w:rsidRPr="001019D8">
              <w:rPr>
                <w:rFonts w:ascii="Verdana" w:eastAsia="Times New Roman" w:hAnsi="Verdana" w:cstheme="minorHAnsi"/>
                <w:sz w:val="20"/>
                <w:szCs w:val="20"/>
                <w:lang w:eastAsia="es-CL"/>
              </w:rPr>
              <w:t>Personas comprometidas con la excelencia operacional.</w:t>
            </w:r>
          </w:p>
        </w:tc>
        <w:tc>
          <w:tcPr>
            <w:tcW w:w="1978" w:type="dxa"/>
            <w:vAlign w:val="center"/>
          </w:tcPr>
          <w:p w14:paraId="7FAB3467" w14:textId="77777777" w:rsidR="004711B9" w:rsidRPr="001019D8" w:rsidRDefault="004711B9" w:rsidP="00464CB1">
            <w:pPr>
              <w:spacing w:after="160" w:line="259"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1019D8">
              <w:rPr>
                <w:rFonts w:ascii="Verdana" w:eastAsia="Times New Roman" w:hAnsi="Verdana" w:cstheme="minorHAnsi"/>
                <w:sz w:val="20"/>
                <w:szCs w:val="20"/>
                <w:lang w:eastAsia="es-CL"/>
              </w:rPr>
              <w:t>Simplificar y agilizar la gestión de los servicios entregados para una mejor y oportuna atención a usuarios/as, a través de la  generación y actualización de normativas y procedimientos.</w:t>
            </w:r>
          </w:p>
        </w:tc>
        <w:tc>
          <w:tcPr>
            <w:tcW w:w="1759" w:type="dxa"/>
            <w:vAlign w:val="center"/>
          </w:tcPr>
          <w:p w14:paraId="66064FF2" w14:textId="77777777" w:rsidR="004711B9" w:rsidRPr="001019D8" w:rsidRDefault="004711B9" w:rsidP="00464CB1">
            <w:pPr>
              <w:spacing w:after="160" w:line="259"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1019D8">
              <w:rPr>
                <w:rFonts w:ascii="Verdana" w:eastAsia="Times New Roman" w:hAnsi="Verdana" w:cstheme="minorHAnsi"/>
                <w:sz w:val="20"/>
                <w:szCs w:val="20"/>
                <w:lang w:eastAsia="es-CL"/>
              </w:rPr>
              <w:t>Cumplir con los plazos de los procesos asociados al control de insumos.</w:t>
            </w:r>
          </w:p>
        </w:tc>
        <w:tc>
          <w:tcPr>
            <w:tcW w:w="1934" w:type="dxa"/>
            <w:vAlign w:val="center"/>
          </w:tcPr>
          <w:p w14:paraId="1B35F2EC" w14:textId="77777777" w:rsidR="004711B9" w:rsidRPr="001019D8" w:rsidRDefault="004711B9" w:rsidP="00464CB1">
            <w:pPr>
              <w:spacing w:after="160" w:line="259"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1019D8">
              <w:rPr>
                <w:rFonts w:ascii="Verdana" w:eastAsia="Times New Roman" w:hAnsi="Verdana" w:cstheme="minorHAnsi"/>
                <w:sz w:val="20"/>
                <w:szCs w:val="20"/>
                <w:lang w:eastAsia="es-CL"/>
              </w:rPr>
              <w:t>Porcentaje de solicitudes de registro de productos farmacéuticos en procesos que están dentro del plazo a la fecha.</w:t>
            </w:r>
          </w:p>
        </w:tc>
        <w:tc>
          <w:tcPr>
            <w:tcW w:w="763" w:type="dxa"/>
            <w:vAlign w:val="center"/>
          </w:tcPr>
          <w:p w14:paraId="7FB512CF" w14:textId="77777777" w:rsidR="004711B9" w:rsidRPr="001019D8" w:rsidRDefault="004711B9" w:rsidP="00464CB1">
            <w:pPr>
              <w:spacing w:after="160" w:line="259"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1019D8">
              <w:rPr>
                <w:rFonts w:ascii="Verdana" w:eastAsia="Times New Roman" w:hAnsi="Verdana" w:cstheme="minorHAnsi"/>
                <w:sz w:val="20"/>
                <w:szCs w:val="20"/>
                <w:lang w:eastAsia="es-CL"/>
              </w:rPr>
              <w:t>100%</w:t>
            </w:r>
          </w:p>
        </w:tc>
        <w:tc>
          <w:tcPr>
            <w:tcW w:w="866" w:type="dxa"/>
            <w:vAlign w:val="center"/>
          </w:tcPr>
          <w:p w14:paraId="609F8F8D" w14:textId="77777777" w:rsidR="004711B9" w:rsidRPr="001019D8" w:rsidRDefault="004711B9" w:rsidP="00464CB1">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1019D8">
              <w:rPr>
                <w:rFonts w:ascii="Verdana" w:hAnsi="Verdana" w:cstheme="minorHAnsi"/>
                <w:sz w:val="20"/>
                <w:szCs w:val="20"/>
              </w:rPr>
              <w:t>-</w:t>
            </w:r>
          </w:p>
        </w:tc>
      </w:tr>
      <w:tr w:rsidR="004711B9" w:rsidRPr="00464CB1" w14:paraId="1EEE00B8" w14:textId="77777777" w:rsidTr="00771B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9" w:type="dxa"/>
            <w:vAlign w:val="center"/>
          </w:tcPr>
          <w:p w14:paraId="5C178AE8" w14:textId="77777777" w:rsidR="004711B9" w:rsidRPr="001019D8" w:rsidRDefault="004711B9" w:rsidP="00464CB1">
            <w:pPr>
              <w:spacing w:after="160" w:line="259" w:lineRule="auto"/>
              <w:rPr>
                <w:rFonts w:ascii="Verdana" w:hAnsi="Verdana" w:cstheme="minorHAnsi"/>
                <w:sz w:val="20"/>
                <w:szCs w:val="20"/>
              </w:rPr>
            </w:pPr>
            <w:r w:rsidRPr="001019D8">
              <w:rPr>
                <w:rFonts w:ascii="Verdana" w:eastAsia="Times New Roman" w:hAnsi="Verdana" w:cstheme="minorHAnsi"/>
                <w:sz w:val="20"/>
                <w:szCs w:val="20"/>
                <w:lang w:eastAsia="es-CL"/>
              </w:rPr>
              <w:t>Personas comprometidas con la excelencia operacional.</w:t>
            </w:r>
          </w:p>
        </w:tc>
        <w:tc>
          <w:tcPr>
            <w:tcW w:w="1978" w:type="dxa"/>
            <w:vAlign w:val="center"/>
          </w:tcPr>
          <w:p w14:paraId="0E38D1BB" w14:textId="77777777" w:rsidR="004711B9" w:rsidRPr="001019D8" w:rsidRDefault="004711B9" w:rsidP="00464CB1">
            <w:p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1019D8">
              <w:rPr>
                <w:rFonts w:ascii="Verdana" w:eastAsia="Times New Roman" w:hAnsi="Verdana" w:cstheme="minorHAnsi"/>
                <w:sz w:val="20"/>
                <w:szCs w:val="20"/>
                <w:lang w:eastAsia="es-CL"/>
              </w:rPr>
              <w:t>Simplificar y agilizar la gestión de los servicios entregados para una mejor y oportuna atención a usuarios/as, a través de la  generación y actualización de normativas y procedimientos.</w:t>
            </w:r>
          </w:p>
        </w:tc>
        <w:tc>
          <w:tcPr>
            <w:tcW w:w="1759" w:type="dxa"/>
            <w:vAlign w:val="center"/>
          </w:tcPr>
          <w:p w14:paraId="34D2B88B" w14:textId="77777777" w:rsidR="004711B9" w:rsidRPr="001019D8" w:rsidRDefault="004711B9" w:rsidP="00464CB1">
            <w:p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1019D8">
              <w:rPr>
                <w:rFonts w:ascii="Verdana" w:eastAsia="Times New Roman" w:hAnsi="Verdana" w:cstheme="minorHAnsi"/>
                <w:sz w:val="20"/>
                <w:szCs w:val="20"/>
                <w:lang w:eastAsia="es-CL"/>
              </w:rPr>
              <w:t>Cumplir con los plazos de los procesos asociados al control de insumos.</w:t>
            </w:r>
          </w:p>
        </w:tc>
        <w:tc>
          <w:tcPr>
            <w:tcW w:w="1934" w:type="dxa"/>
            <w:vAlign w:val="center"/>
          </w:tcPr>
          <w:p w14:paraId="12FE7C86" w14:textId="77777777" w:rsidR="004711B9" w:rsidRPr="001019D8" w:rsidRDefault="004711B9" w:rsidP="00464CB1">
            <w:p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1019D8">
              <w:rPr>
                <w:rFonts w:ascii="Verdana" w:eastAsia="Times New Roman" w:hAnsi="Verdana" w:cstheme="minorHAnsi"/>
                <w:sz w:val="20"/>
                <w:szCs w:val="20"/>
                <w:lang w:eastAsia="es-CL"/>
              </w:rPr>
              <w:t>Porcentaje de solicitudes de autorización, renovación o modificación de plaguicidas en proceso que están dentro del plazo.</w:t>
            </w:r>
          </w:p>
        </w:tc>
        <w:tc>
          <w:tcPr>
            <w:tcW w:w="763" w:type="dxa"/>
            <w:vAlign w:val="center"/>
          </w:tcPr>
          <w:p w14:paraId="47FBD3DB" w14:textId="77777777" w:rsidR="004711B9" w:rsidRPr="001019D8" w:rsidRDefault="004711B9" w:rsidP="00464CB1">
            <w:pPr>
              <w:spacing w:after="160" w:line="259" w:lineRule="auto"/>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1019D8">
              <w:rPr>
                <w:rFonts w:ascii="Verdana" w:eastAsia="Times New Roman" w:hAnsi="Verdana" w:cstheme="minorHAnsi"/>
                <w:sz w:val="20"/>
                <w:szCs w:val="20"/>
                <w:lang w:eastAsia="es-CL"/>
              </w:rPr>
              <w:t>50%</w:t>
            </w:r>
          </w:p>
        </w:tc>
        <w:tc>
          <w:tcPr>
            <w:tcW w:w="866" w:type="dxa"/>
            <w:vAlign w:val="center"/>
          </w:tcPr>
          <w:p w14:paraId="22FB54B9" w14:textId="77777777" w:rsidR="004711B9" w:rsidRPr="001019D8" w:rsidRDefault="004711B9" w:rsidP="00464CB1">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Verdana" w:hAnsi="Verdana" w:cstheme="minorHAnsi"/>
                <w:sz w:val="20"/>
                <w:szCs w:val="20"/>
              </w:rPr>
            </w:pPr>
            <w:r w:rsidRPr="001019D8">
              <w:rPr>
                <w:rFonts w:ascii="Verdana" w:eastAsia="Times New Roman" w:hAnsi="Verdana" w:cstheme="minorHAnsi"/>
                <w:sz w:val="20"/>
                <w:szCs w:val="20"/>
                <w:lang w:eastAsia="es-CL"/>
              </w:rPr>
              <w:t>10</w:t>
            </w:r>
          </w:p>
        </w:tc>
      </w:tr>
      <w:tr w:rsidR="004711B9" w:rsidRPr="00464CB1" w14:paraId="4A1065BD" w14:textId="77777777" w:rsidTr="00771B5C">
        <w:tc>
          <w:tcPr>
            <w:cnfStyle w:val="001000000000" w:firstRow="0" w:lastRow="0" w:firstColumn="1" w:lastColumn="0" w:oddVBand="0" w:evenVBand="0" w:oddHBand="0" w:evenHBand="0" w:firstRowFirstColumn="0" w:firstRowLastColumn="0" w:lastRowFirstColumn="0" w:lastRowLastColumn="0"/>
            <w:tcW w:w="1979" w:type="dxa"/>
            <w:vAlign w:val="center"/>
          </w:tcPr>
          <w:p w14:paraId="75C53DE0" w14:textId="77777777" w:rsidR="004711B9" w:rsidRPr="001019D8" w:rsidRDefault="004711B9" w:rsidP="00464CB1">
            <w:pPr>
              <w:spacing w:after="160" w:line="259" w:lineRule="auto"/>
              <w:rPr>
                <w:rFonts w:ascii="Verdana" w:hAnsi="Verdana" w:cstheme="minorHAnsi"/>
                <w:sz w:val="20"/>
                <w:szCs w:val="20"/>
              </w:rPr>
            </w:pPr>
            <w:r w:rsidRPr="001019D8">
              <w:rPr>
                <w:rFonts w:ascii="Verdana" w:eastAsia="Times New Roman" w:hAnsi="Verdana" w:cstheme="minorHAnsi"/>
                <w:sz w:val="20"/>
                <w:szCs w:val="20"/>
                <w:lang w:eastAsia="es-CL"/>
              </w:rPr>
              <w:lastRenderedPageBreak/>
              <w:t>Personas comprometidas con la excelencia operacional.</w:t>
            </w:r>
          </w:p>
        </w:tc>
        <w:tc>
          <w:tcPr>
            <w:tcW w:w="1978" w:type="dxa"/>
            <w:vAlign w:val="center"/>
          </w:tcPr>
          <w:p w14:paraId="2AE3B269" w14:textId="77777777" w:rsidR="004711B9" w:rsidRPr="001019D8" w:rsidRDefault="004711B9" w:rsidP="00464CB1">
            <w:pPr>
              <w:spacing w:after="160" w:line="259"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1019D8">
              <w:rPr>
                <w:rFonts w:ascii="Verdana" w:eastAsia="Times New Roman" w:hAnsi="Verdana" w:cstheme="minorHAnsi"/>
                <w:sz w:val="20"/>
                <w:szCs w:val="20"/>
                <w:lang w:eastAsia="es-CL"/>
              </w:rPr>
              <w:t>Simplificar y agilizar la gestión de los servicios entregados para una mejor y oportuna atención a usuarios/as, a través de la  generación y actualización de normativas y procedimientos.</w:t>
            </w:r>
          </w:p>
        </w:tc>
        <w:tc>
          <w:tcPr>
            <w:tcW w:w="1759" w:type="dxa"/>
            <w:vAlign w:val="center"/>
          </w:tcPr>
          <w:p w14:paraId="7C403FAE" w14:textId="77777777" w:rsidR="004711B9" w:rsidRPr="001019D8" w:rsidRDefault="004711B9" w:rsidP="00464CB1">
            <w:pPr>
              <w:spacing w:after="160" w:line="259"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1019D8">
              <w:rPr>
                <w:rFonts w:ascii="Verdana" w:eastAsia="Times New Roman" w:hAnsi="Verdana" w:cstheme="minorHAnsi"/>
                <w:sz w:val="20"/>
                <w:szCs w:val="20"/>
                <w:lang w:eastAsia="es-CL"/>
              </w:rPr>
              <w:t xml:space="preserve">Cumplir oportunamente con el análisis serológico  ante denuncias </w:t>
            </w:r>
            <w:proofErr w:type="spellStart"/>
            <w:r w:rsidRPr="001019D8">
              <w:rPr>
                <w:rFonts w:ascii="Verdana" w:eastAsia="Times New Roman" w:hAnsi="Verdana" w:cstheme="minorHAnsi"/>
                <w:sz w:val="20"/>
                <w:szCs w:val="20"/>
                <w:lang w:eastAsia="es-CL"/>
              </w:rPr>
              <w:t>emergenciales</w:t>
            </w:r>
            <w:proofErr w:type="spellEnd"/>
            <w:r w:rsidRPr="001019D8">
              <w:rPr>
                <w:rFonts w:ascii="Verdana" w:eastAsia="Times New Roman" w:hAnsi="Verdana" w:cstheme="minorHAnsi"/>
                <w:sz w:val="20"/>
                <w:szCs w:val="20"/>
                <w:lang w:eastAsia="es-CL"/>
              </w:rPr>
              <w:t xml:space="preserve"> pecuarias.</w:t>
            </w:r>
          </w:p>
        </w:tc>
        <w:tc>
          <w:tcPr>
            <w:tcW w:w="1934" w:type="dxa"/>
            <w:vAlign w:val="center"/>
          </w:tcPr>
          <w:p w14:paraId="47D7F8BC" w14:textId="77777777" w:rsidR="004711B9" w:rsidRPr="001019D8" w:rsidRDefault="004711B9" w:rsidP="00464CB1">
            <w:pPr>
              <w:spacing w:after="160" w:line="259"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1019D8">
              <w:rPr>
                <w:rFonts w:ascii="Verdana" w:eastAsia="Times New Roman" w:hAnsi="Verdana" w:cstheme="minorHAnsi"/>
                <w:sz w:val="20"/>
                <w:szCs w:val="20"/>
                <w:lang w:eastAsia="es-CL"/>
              </w:rPr>
              <w:t xml:space="preserve">Tiempo promedio de respuesta de los análisis serológicos efectuados a las muestras de Denuncias </w:t>
            </w:r>
            <w:proofErr w:type="spellStart"/>
            <w:r w:rsidRPr="001019D8">
              <w:rPr>
                <w:rFonts w:ascii="Verdana" w:eastAsia="Times New Roman" w:hAnsi="Verdana" w:cstheme="minorHAnsi"/>
                <w:sz w:val="20"/>
                <w:szCs w:val="20"/>
                <w:lang w:eastAsia="es-CL"/>
              </w:rPr>
              <w:t>Emergenciales</w:t>
            </w:r>
            <w:proofErr w:type="spellEnd"/>
            <w:r w:rsidRPr="001019D8">
              <w:rPr>
                <w:rFonts w:ascii="Verdana" w:eastAsia="Times New Roman" w:hAnsi="Verdana" w:cstheme="minorHAnsi"/>
                <w:sz w:val="20"/>
                <w:szCs w:val="20"/>
                <w:lang w:eastAsia="es-CL"/>
              </w:rPr>
              <w:t xml:space="preserve"> Pecuarias.</w:t>
            </w:r>
          </w:p>
        </w:tc>
        <w:tc>
          <w:tcPr>
            <w:tcW w:w="763" w:type="dxa"/>
            <w:vAlign w:val="center"/>
          </w:tcPr>
          <w:p w14:paraId="436E2E52" w14:textId="77777777" w:rsidR="004711B9" w:rsidRPr="001019D8" w:rsidRDefault="004711B9" w:rsidP="00464CB1">
            <w:pPr>
              <w:spacing w:after="160" w:line="259" w:lineRule="auto"/>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1019D8">
              <w:rPr>
                <w:rFonts w:ascii="Verdana" w:eastAsia="Times New Roman" w:hAnsi="Verdana" w:cstheme="minorHAnsi"/>
                <w:sz w:val="20"/>
                <w:szCs w:val="20"/>
                <w:lang w:eastAsia="es-CL"/>
              </w:rPr>
              <w:t>5,29 días</w:t>
            </w:r>
          </w:p>
        </w:tc>
        <w:tc>
          <w:tcPr>
            <w:tcW w:w="866" w:type="dxa"/>
            <w:vAlign w:val="center"/>
          </w:tcPr>
          <w:p w14:paraId="74F3DA73" w14:textId="77777777" w:rsidR="004711B9" w:rsidRPr="001019D8" w:rsidRDefault="004711B9" w:rsidP="00464CB1">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Verdana" w:hAnsi="Verdana" w:cstheme="minorHAnsi"/>
                <w:sz w:val="20"/>
                <w:szCs w:val="20"/>
              </w:rPr>
            </w:pPr>
            <w:r w:rsidRPr="001019D8">
              <w:rPr>
                <w:rFonts w:ascii="Verdana" w:eastAsia="Times New Roman" w:hAnsi="Verdana" w:cstheme="minorHAnsi"/>
                <w:sz w:val="20"/>
                <w:szCs w:val="20"/>
                <w:lang w:eastAsia="es-CL"/>
              </w:rPr>
              <w:t>11</w:t>
            </w:r>
          </w:p>
        </w:tc>
      </w:tr>
    </w:tbl>
    <w:p w14:paraId="312A2DFF" w14:textId="77777777" w:rsidR="001019D8" w:rsidRDefault="001019D8" w:rsidP="001019D8">
      <w:pPr>
        <w:rPr>
          <w:rFonts w:cstheme="minorHAnsi"/>
          <w:b/>
        </w:rPr>
      </w:pPr>
    </w:p>
    <w:p w14:paraId="30F395D9" w14:textId="74A320B1" w:rsidR="00FD4ABC" w:rsidRPr="001019D8" w:rsidRDefault="00FD4ABC" w:rsidP="001019D8">
      <w:pPr>
        <w:rPr>
          <w:rFonts w:ascii="Verdana" w:hAnsi="Verdana" w:cstheme="minorHAnsi"/>
          <w:b/>
        </w:rPr>
      </w:pPr>
      <w:r w:rsidRPr="001019D8">
        <w:rPr>
          <w:rFonts w:ascii="Verdana" w:hAnsi="Verdana" w:cstheme="minorHAnsi"/>
          <w:b/>
        </w:rPr>
        <w:t>Notas:</w:t>
      </w:r>
    </w:p>
    <w:p w14:paraId="230DDB3B" w14:textId="77777777" w:rsidR="006568AC" w:rsidRPr="001019D8" w:rsidRDefault="006568AC" w:rsidP="006568AC">
      <w:pPr>
        <w:pStyle w:val="Prrafodelista"/>
        <w:numPr>
          <w:ilvl w:val="0"/>
          <w:numId w:val="13"/>
        </w:numPr>
        <w:spacing w:after="0" w:line="240" w:lineRule="auto"/>
        <w:jc w:val="both"/>
        <w:rPr>
          <w:rFonts w:ascii="Verdana" w:hAnsi="Verdana"/>
          <w:sz w:val="20"/>
          <w:szCs w:val="20"/>
        </w:rPr>
      </w:pPr>
      <w:r w:rsidRPr="001019D8">
        <w:rPr>
          <w:rFonts w:ascii="Verdana" w:hAnsi="Verdana"/>
          <w:sz w:val="20"/>
          <w:szCs w:val="20"/>
        </w:rPr>
        <w:t xml:space="preserve">Para acceder a la bonificación, se debe presentar un plan de manejo a los concursos que para el efecto implementan el SAG o el INDAP, el que debe ser confeccionado por un operador acreditado, considerando la Tabla Anual de Costos que establece el Ministerio de Agricultura y debe contener, entre otros antecedentes, la individualización del área a intervenir con una o más prácticas </w:t>
      </w:r>
      <w:proofErr w:type="spellStart"/>
      <w:r w:rsidRPr="001019D8">
        <w:rPr>
          <w:rFonts w:ascii="Verdana" w:hAnsi="Verdana"/>
          <w:sz w:val="20"/>
          <w:szCs w:val="20"/>
        </w:rPr>
        <w:t>bonificables</w:t>
      </w:r>
      <w:proofErr w:type="spellEnd"/>
      <w:r w:rsidRPr="001019D8">
        <w:rPr>
          <w:rFonts w:ascii="Verdana" w:hAnsi="Verdana"/>
          <w:sz w:val="20"/>
          <w:szCs w:val="20"/>
        </w:rPr>
        <w:t xml:space="preserve"> por el Programa. Dichas prácticas se agrupan en cinco subprogramas: i) fertilización fosfatada, ii) incorporación de elementos químicos esenciales (se incluye enmiendas calcáreas), iii) establecimiento de praderas, iv) conservación de suelos (se incluye rotación de cultivos) y, v) rehabilitación de suelos.</w:t>
      </w:r>
    </w:p>
    <w:p w14:paraId="65A03209" w14:textId="77777777" w:rsidR="00464CB1" w:rsidRPr="001019D8" w:rsidRDefault="00464CB1" w:rsidP="00464CB1">
      <w:pPr>
        <w:pStyle w:val="Prrafodelista"/>
        <w:spacing w:after="0" w:line="240" w:lineRule="auto"/>
        <w:jc w:val="both"/>
        <w:rPr>
          <w:rFonts w:ascii="Verdana" w:hAnsi="Verdana"/>
          <w:sz w:val="20"/>
          <w:szCs w:val="20"/>
        </w:rPr>
      </w:pPr>
    </w:p>
    <w:p w14:paraId="4DAC67AC" w14:textId="77777777" w:rsidR="006568AC" w:rsidRPr="001019D8" w:rsidRDefault="006568AC" w:rsidP="006568AC">
      <w:pPr>
        <w:pStyle w:val="Prrafodelista"/>
        <w:spacing w:after="0" w:line="240" w:lineRule="auto"/>
        <w:jc w:val="both"/>
        <w:rPr>
          <w:rFonts w:ascii="Verdana" w:hAnsi="Verdana"/>
          <w:sz w:val="20"/>
          <w:szCs w:val="20"/>
        </w:rPr>
      </w:pPr>
      <w:r w:rsidRPr="001019D8">
        <w:rPr>
          <w:rFonts w:ascii="Verdana" w:hAnsi="Verdana"/>
          <w:sz w:val="20"/>
          <w:szCs w:val="20"/>
        </w:rPr>
        <w:t>El reglamento del Programa señala qué práctica es aquella tarea específica que contribuye al mantenimiento y mejora del recurso suelo, en el ámbito de alguna de las actividades o subprogramas establecidos en el inciso segundo del artículo 3º de la ley Nº 20.412.</w:t>
      </w:r>
    </w:p>
    <w:p w14:paraId="6A121A9B" w14:textId="77777777" w:rsidR="006568AC" w:rsidRPr="001019D8" w:rsidRDefault="006568AC" w:rsidP="006568AC">
      <w:pPr>
        <w:spacing w:after="0" w:line="240" w:lineRule="auto"/>
        <w:jc w:val="both"/>
        <w:rPr>
          <w:rFonts w:ascii="Verdana" w:hAnsi="Verdana"/>
          <w:sz w:val="20"/>
          <w:szCs w:val="20"/>
        </w:rPr>
      </w:pPr>
    </w:p>
    <w:p w14:paraId="5393A671" w14:textId="77777777" w:rsidR="006568AC" w:rsidRPr="001019D8" w:rsidRDefault="006568AC" w:rsidP="006568AC">
      <w:pPr>
        <w:pStyle w:val="Prrafodelista"/>
        <w:numPr>
          <w:ilvl w:val="0"/>
          <w:numId w:val="13"/>
        </w:numPr>
        <w:spacing w:after="0" w:line="240" w:lineRule="auto"/>
        <w:jc w:val="both"/>
        <w:rPr>
          <w:rFonts w:ascii="Verdana" w:hAnsi="Verdana"/>
          <w:sz w:val="20"/>
          <w:szCs w:val="20"/>
        </w:rPr>
      </w:pPr>
      <w:r w:rsidRPr="001019D8">
        <w:rPr>
          <w:rFonts w:ascii="Verdana" w:hAnsi="Verdana"/>
          <w:sz w:val="20"/>
          <w:szCs w:val="20"/>
        </w:rPr>
        <w:t xml:space="preserve">En el mes de febrero del 2014 entra en vigencia la Resolución Ex. SAG N° 4.412 de 2013 que “Establece Requisitos Fitosanitarios para el Ingreso de Naves Provenientes de Áreas con Presencia de Polilla Gitana Raza Asiática (PGRA) </w:t>
      </w:r>
      <w:proofErr w:type="spellStart"/>
      <w:r w:rsidRPr="001019D8">
        <w:rPr>
          <w:rFonts w:ascii="Verdana" w:hAnsi="Verdana"/>
          <w:sz w:val="20"/>
          <w:szCs w:val="20"/>
        </w:rPr>
        <w:t>Lymantria</w:t>
      </w:r>
      <w:proofErr w:type="spellEnd"/>
      <w:r w:rsidRPr="001019D8">
        <w:rPr>
          <w:rFonts w:ascii="Verdana" w:hAnsi="Verdana"/>
          <w:sz w:val="20"/>
          <w:szCs w:val="20"/>
        </w:rPr>
        <w:t xml:space="preserve"> dispar </w:t>
      </w:r>
      <w:proofErr w:type="spellStart"/>
      <w:r w:rsidRPr="001019D8">
        <w:rPr>
          <w:rFonts w:ascii="Verdana" w:hAnsi="Verdana"/>
          <w:sz w:val="20"/>
          <w:szCs w:val="20"/>
        </w:rPr>
        <w:t>Asiatica</w:t>
      </w:r>
      <w:proofErr w:type="spellEnd"/>
      <w:r w:rsidRPr="001019D8">
        <w:rPr>
          <w:rFonts w:ascii="Verdana" w:hAnsi="Verdana"/>
          <w:sz w:val="20"/>
          <w:szCs w:val="20"/>
        </w:rPr>
        <w:t xml:space="preserve"> </w:t>
      </w:r>
      <w:proofErr w:type="spellStart"/>
      <w:r w:rsidRPr="001019D8">
        <w:rPr>
          <w:rFonts w:ascii="Verdana" w:hAnsi="Verdana"/>
          <w:sz w:val="20"/>
          <w:szCs w:val="20"/>
        </w:rPr>
        <w:t>Vnukovskij</w:t>
      </w:r>
      <w:proofErr w:type="spellEnd"/>
      <w:r w:rsidRPr="001019D8">
        <w:rPr>
          <w:rFonts w:ascii="Verdana" w:hAnsi="Verdana"/>
          <w:sz w:val="20"/>
          <w:szCs w:val="20"/>
        </w:rPr>
        <w:t xml:space="preserve"> y </w:t>
      </w:r>
      <w:proofErr w:type="spellStart"/>
      <w:r w:rsidRPr="001019D8">
        <w:rPr>
          <w:rFonts w:ascii="Verdana" w:hAnsi="Verdana"/>
          <w:sz w:val="20"/>
          <w:szCs w:val="20"/>
        </w:rPr>
        <w:t>Lymantria</w:t>
      </w:r>
      <w:proofErr w:type="spellEnd"/>
      <w:r w:rsidRPr="001019D8">
        <w:rPr>
          <w:rFonts w:ascii="Verdana" w:hAnsi="Verdana"/>
          <w:sz w:val="20"/>
          <w:szCs w:val="20"/>
        </w:rPr>
        <w:t xml:space="preserve"> dispar Japónica (</w:t>
      </w:r>
      <w:proofErr w:type="spellStart"/>
      <w:r w:rsidRPr="001019D8">
        <w:rPr>
          <w:rFonts w:ascii="Verdana" w:hAnsi="Verdana"/>
          <w:sz w:val="20"/>
          <w:szCs w:val="20"/>
        </w:rPr>
        <w:t>Motschulsky</w:t>
      </w:r>
      <w:proofErr w:type="spellEnd"/>
      <w:r w:rsidRPr="001019D8">
        <w:rPr>
          <w:rFonts w:ascii="Verdana" w:hAnsi="Verdana"/>
          <w:sz w:val="20"/>
          <w:szCs w:val="20"/>
        </w:rPr>
        <w:t>) (</w:t>
      </w:r>
      <w:proofErr w:type="spellStart"/>
      <w:r w:rsidRPr="001019D8">
        <w:rPr>
          <w:rFonts w:ascii="Verdana" w:hAnsi="Verdana"/>
          <w:sz w:val="20"/>
          <w:szCs w:val="20"/>
        </w:rPr>
        <w:t>Lepidoptera</w:t>
      </w:r>
      <w:proofErr w:type="spellEnd"/>
      <w:r w:rsidRPr="001019D8">
        <w:rPr>
          <w:rFonts w:ascii="Verdana" w:hAnsi="Verdana"/>
          <w:sz w:val="20"/>
          <w:szCs w:val="20"/>
        </w:rPr>
        <w:t xml:space="preserve">, </w:t>
      </w:r>
      <w:proofErr w:type="spellStart"/>
      <w:r w:rsidRPr="001019D8">
        <w:rPr>
          <w:rFonts w:ascii="Verdana" w:hAnsi="Verdana"/>
          <w:sz w:val="20"/>
          <w:szCs w:val="20"/>
        </w:rPr>
        <w:t>Lymantriidae</w:t>
      </w:r>
      <w:proofErr w:type="spellEnd"/>
      <w:r w:rsidRPr="001019D8">
        <w:rPr>
          <w:rFonts w:ascii="Verdana" w:hAnsi="Verdana"/>
          <w:sz w:val="20"/>
          <w:szCs w:val="20"/>
        </w:rPr>
        <w:t>)”, lo cual implica que todas las naves de transporte marítimo que arriben a puertos chilenos (primer puerto), que zarpen o permanezcan en áreas con presencia PGRA y en época de vuelo de la hembra adulta (en adelante Naves de Riesgo), deberán venir amparadas por un Certificado que señale que la nave se encuentra libre de esta plaga. Aquellas naves que no vengan amparados por el Certificado deben ser sometidas, obligatoriamente, a una inspección fitosanitaria específica para la detección de la plaga, con luz día.</w:t>
      </w:r>
    </w:p>
    <w:p w14:paraId="5B993596" w14:textId="77777777" w:rsidR="006568AC" w:rsidRPr="001019D8" w:rsidRDefault="006568AC" w:rsidP="006568AC">
      <w:pPr>
        <w:pStyle w:val="Prrafodelista"/>
        <w:numPr>
          <w:ilvl w:val="0"/>
          <w:numId w:val="13"/>
        </w:numPr>
        <w:spacing w:after="0" w:line="240" w:lineRule="auto"/>
        <w:jc w:val="both"/>
        <w:rPr>
          <w:rFonts w:ascii="Verdana" w:hAnsi="Verdana"/>
          <w:sz w:val="20"/>
          <w:szCs w:val="20"/>
        </w:rPr>
      </w:pPr>
      <w:r w:rsidRPr="001019D8">
        <w:rPr>
          <w:rFonts w:ascii="Verdana" w:hAnsi="Verdana"/>
          <w:sz w:val="20"/>
          <w:szCs w:val="20"/>
        </w:rPr>
        <w:lastRenderedPageBreak/>
        <w:t>Las 16 enfermedades animales de importancia zoosanitaria son de denuncia obligatoria al SAG y de notificación a la Organización Mundial de Sanidad Animal (OIE). En Chile son consideradas enfermedades exóticas por encontrarse ausentes en el territorio nacional y son de importancia económica debido al daño o perdidas físicas que producirían a las explotaciones pecuarias si ingresaran.</w:t>
      </w:r>
    </w:p>
    <w:p w14:paraId="1FA991BD" w14:textId="77777777" w:rsidR="00464CB1" w:rsidRPr="001019D8" w:rsidRDefault="00464CB1" w:rsidP="00464CB1">
      <w:pPr>
        <w:spacing w:after="0" w:line="240" w:lineRule="auto"/>
        <w:jc w:val="both"/>
        <w:rPr>
          <w:rFonts w:ascii="Verdana" w:hAnsi="Verdana"/>
          <w:sz w:val="20"/>
          <w:szCs w:val="20"/>
        </w:rPr>
      </w:pPr>
    </w:p>
    <w:p w14:paraId="4748B5C2" w14:textId="77777777" w:rsidR="006568AC" w:rsidRPr="001019D8" w:rsidRDefault="006568AC" w:rsidP="006568AC">
      <w:pPr>
        <w:pStyle w:val="Prrafodelista"/>
        <w:spacing w:after="0" w:line="240" w:lineRule="auto"/>
        <w:jc w:val="both"/>
        <w:rPr>
          <w:rFonts w:ascii="Verdana" w:hAnsi="Verdana"/>
          <w:sz w:val="20"/>
          <w:szCs w:val="20"/>
        </w:rPr>
      </w:pPr>
      <w:r w:rsidRPr="001019D8">
        <w:rPr>
          <w:rFonts w:ascii="Verdana" w:hAnsi="Verdana"/>
          <w:sz w:val="20"/>
          <w:szCs w:val="20"/>
        </w:rPr>
        <w:t xml:space="preserve">Las 16 enfermedades de importancia zoosanitaria son: 1) fiebre aftosa, 2) enfermedad vesicular del cerdo, 3) peste bovina, 4) peste de los pequeños rumiantes, 5) </w:t>
      </w:r>
      <w:proofErr w:type="spellStart"/>
      <w:r w:rsidRPr="001019D8">
        <w:rPr>
          <w:rFonts w:ascii="Verdana" w:hAnsi="Verdana"/>
          <w:sz w:val="20"/>
          <w:szCs w:val="20"/>
        </w:rPr>
        <w:t>perineumonia</w:t>
      </w:r>
      <w:proofErr w:type="spellEnd"/>
      <w:r w:rsidRPr="001019D8">
        <w:rPr>
          <w:rFonts w:ascii="Verdana" w:hAnsi="Verdana"/>
          <w:sz w:val="20"/>
          <w:szCs w:val="20"/>
        </w:rPr>
        <w:t xml:space="preserve"> contagiosa bovina, 6) fiebre del valle del </w:t>
      </w:r>
      <w:proofErr w:type="spellStart"/>
      <w:r w:rsidRPr="001019D8">
        <w:rPr>
          <w:rFonts w:ascii="Verdana" w:hAnsi="Verdana"/>
          <w:sz w:val="20"/>
          <w:szCs w:val="20"/>
        </w:rPr>
        <w:t>rift</w:t>
      </w:r>
      <w:proofErr w:type="spellEnd"/>
      <w:r w:rsidRPr="001019D8">
        <w:rPr>
          <w:rFonts w:ascii="Verdana" w:hAnsi="Verdana"/>
          <w:sz w:val="20"/>
          <w:szCs w:val="20"/>
        </w:rPr>
        <w:t xml:space="preserve">, 7) lengua azul, 8) viruela ovina y caprina, 9) peste equina, 10) peste porcina clásica, 11) peste porcina africana,12) influenza aviar altamente patógena, 13) new </w:t>
      </w:r>
      <w:proofErr w:type="spellStart"/>
      <w:r w:rsidRPr="001019D8">
        <w:rPr>
          <w:rFonts w:ascii="Verdana" w:hAnsi="Verdana"/>
          <w:sz w:val="20"/>
          <w:szCs w:val="20"/>
        </w:rPr>
        <w:t>castle</w:t>
      </w:r>
      <w:proofErr w:type="spellEnd"/>
      <w:r w:rsidRPr="001019D8">
        <w:rPr>
          <w:rFonts w:ascii="Verdana" w:hAnsi="Verdana"/>
          <w:sz w:val="20"/>
          <w:szCs w:val="20"/>
        </w:rPr>
        <w:t xml:space="preserve"> </w:t>
      </w:r>
      <w:proofErr w:type="spellStart"/>
      <w:r w:rsidRPr="001019D8">
        <w:rPr>
          <w:rFonts w:ascii="Verdana" w:hAnsi="Verdana"/>
          <w:sz w:val="20"/>
          <w:szCs w:val="20"/>
        </w:rPr>
        <w:t>velogénico</w:t>
      </w:r>
      <w:proofErr w:type="spellEnd"/>
      <w:r w:rsidRPr="001019D8">
        <w:rPr>
          <w:rFonts w:ascii="Verdana" w:hAnsi="Verdana"/>
          <w:sz w:val="20"/>
          <w:szCs w:val="20"/>
        </w:rPr>
        <w:t xml:space="preserve"> </w:t>
      </w:r>
      <w:proofErr w:type="spellStart"/>
      <w:r w:rsidRPr="001019D8">
        <w:rPr>
          <w:rFonts w:ascii="Verdana" w:hAnsi="Verdana"/>
          <w:sz w:val="20"/>
          <w:szCs w:val="20"/>
        </w:rPr>
        <w:t>viscerotrópico</w:t>
      </w:r>
      <w:proofErr w:type="spellEnd"/>
      <w:r w:rsidRPr="001019D8">
        <w:rPr>
          <w:rFonts w:ascii="Verdana" w:hAnsi="Verdana"/>
          <w:sz w:val="20"/>
          <w:szCs w:val="20"/>
        </w:rPr>
        <w:t xml:space="preserve">, 14) scrapie, 15) </w:t>
      </w:r>
      <w:proofErr w:type="spellStart"/>
      <w:r w:rsidRPr="001019D8">
        <w:rPr>
          <w:rFonts w:ascii="Verdana" w:hAnsi="Verdana"/>
          <w:sz w:val="20"/>
          <w:szCs w:val="20"/>
        </w:rPr>
        <w:t>aujesky</w:t>
      </w:r>
      <w:proofErr w:type="spellEnd"/>
      <w:r w:rsidRPr="001019D8">
        <w:rPr>
          <w:rFonts w:ascii="Verdana" w:hAnsi="Verdana"/>
          <w:sz w:val="20"/>
          <w:szCs w:val="20"/>
        </w:rPr>
        <w:t xml:space="preserve"> y 16) encefalopatía espongiforme bovina.</w:t>
      </w:r>
    </w:p>
    <w:p w14:paraId="4B71B2DC" w14:textId="77777777" w:rsidR="006568AC" w:rsidRPr="001019D8" w:rsidRDefault="006568AC" w:rsidP="006568AC">
      <w:pPr>
        <w:spacing w:after="0" w:line="240" w:lineRule="auto"/>
        <w:jc w:val="both"/>
        <w:rPr>
          <w:rFonts w:ascii="Verdana" w:hAnsi="Verdana"/>
          <w:sz w:val="20"/>
          <w:szCs w:val="20"/>
        </w:rPr>
      </w:pPr>
    </w:p>
    <w:p w14:paraId="63E78487" w14:textId="77777777" w:rsidR="006568AC" w:rsidRPr="001019D8" w:rsidRDefault="006568AC" w:rsidP="006568AC">
      <w:pPr>
        <w:pStyle w:val="Prrafodelista"/>
        <w:numPr>
          <w:ilvl w:val="0"/>
          <w:numId w:val="13"/>
        </w:numPr>
        <w:spacing w:after="0" w:line="240" w:lineRule="auto"/>
        <w:jc w:val="both"/>
        <w:rPr>
          <w:rFonts w:ascii="Verdana" w:hAnsi="Verdana"/>
          <w:sz w:val="20"/>
          <w:szCs w:val="20"/>
        </w:rPr>
      </w:pPr>
      <w:r w:rsidRPr="001019D8">
        <w:rPr>
          <w:rFonts w:ascii="Verdana" w:hAnsi="Verdana"/>
          <w:sz w:val="20"/>
          <w:szCs w:val="20"/>
        </w:rPr>
        <w:t>Área libre comprende todos los huertos comerciales de vid ubicados entre las regiones de Atacama y Aysén, ambas incluidas, que se encuentran fuera de los anillos de radios 3 km en cuyo centro existe un brote activo de la plaga (área reglamentada). La estrategia 2018-2019 establece la contención, supresión y erradicación de la plaga de los cultivos que registran impacto de la plaga, de acuerdo al siguiente detalle:</w:t>
      </w:r>
    </w:p>
    <w:p w14:paraId="43D40A61" w14:textId="77777777" w:rsidR="00464CB1" w:rsidRPr="001019D8" w:rsidRDefault="00464CB1" w:rsidP="00464CB1">
      <w:pPr>
        <w:pStyle w:val="Prrafodelista"/>
        <w:spacing w:after="0" w:line="240" w:lineRule="auto"/>
        <w:jc w:val="both"/>
        <w:rPr>
          <w:rFonts w:ascii="Verdana" w:hAnsi="Verdana"/>
          <w:sz w:val="20"/>
          <w:szCs w:val="20"/>
        </w:rPr>
      </w:pPr>
    </w:p>
    <w:p w14:paraId="389F1530" w14:textId="77777777" w:rsidR="006568AC" w:rsidRPr="001019D8" w:rsidRDefault="006568AC" w:rsidP="006568AC">
      <w:pPr>
        <w:pStyle w:val="Prrafodelista"/>
        <w:spacing w:after="0" w:line="240" w:lineRule="auto"/>
        <w:jc w:val="both"/>
        <w:rPr>
          <w:rFonts w:ascii="Verdana" w:hAnsi="Verdana"/>
          <w:sz w:val="20"/>
          <w:szCs w:val="20"/>
        </w:rPr>
      </w:pPr>
      <w:r w:rsidRPr="001019D8">
        <w:rPr>
          <w:rFonts w:ascii="Cambria Math" w:hAnsi="Cambria Math" w:cs="Cambria Math"/>
          <w:sz w:val="20"/>
          <w:szCs w:val="20"/>
        </w:rPr>
        <w:t>‐</w:t>
      </w:r>
      <w:r w:rsidRPr="001019D8">
        <w:rPr>
          <w:rFonts w:ascii="Verdana" w:hAnsi="Verdana"/>
          <w:sz w:val="20"/>
          <w:szCs w:val="20"/>
        </w:rPr>
        <w:t xml:space="preserve"> Estrategia de Supresi</w:t>
      </w:r>
      <w:r w:rsidRPr="001019D8">
        <w:rPr>
          <w:rFonts w:ascii="Verdana" w:hAnsi="Verdana" w:cs="Verdana"/>
          <w:sz w:val="20"/>
          <w:szCs w:val="20"/>
        </w:rPr>
        <w:t>ó</w:t>
      </w:r>
      <w:r w:rsidRPr="001019D8">
        <w:rPr>
          <w:rFonts w:ascii="Verdana" w:hAnsi="Verdana"/>
          <w:sz w:val="20"/>
          <w:szCs w:val="20"/>
        </w:rPr>
        <w:t>n y Contenci</w:t>
      </w:r>
      <w:r w:rsidRPr="001019D8">
        <w:rPr>
          <w:rFonts w:ascii="Verdana" w:hAnsi="Verdana" w:cs="Verdana"/>
          <w:sz w:val="20"/>
          <w:szCs w:val="20"/>
        </w:rPr>
        <w:t>ó</w:t>
      </w:r>
      <w:r w:rsidRPr="001019D8">
        <w:rPr>
          <w:rFonts w:ascii="Verdana" w:hAnsi="Verdana"/>
          <w:sz w:val="20"/>
          <w:szCs w:val="20"/>
        </w:rPr>
        <w:t>n: Regiones Metropolitana, O</w:t>
      </w:r>
      <w:r w:rsidRPr="001019D8">
        <w:rPr>
          <w:rFonts w:ascii="Verdana" w:hAnsi="Verdana" w:cs="Verdana"/>
          <w:sz w:val="20"/>
          <w:szCs w:val="20"/>
        </w:rPr>
        <w:t>´</w:t>
      </w:r>
      <w:r w:rsidRPr="001019D8">
        <w:rPr>
          <w:rFonts w:ascii="Verdana" w:hAnsi="Verdana"/>
          <w:sz w:val="20"/>
          <w:szCs w:val="20"/>
        </w:rPr>
        <w:t>Higgins y Maule;</w:t>
      </w:r>
    </w:p>
    <w:p w14:paraId="49FCA622" w14:textId="77777777" w:rsidR="006568AC" w:rsidRPr="001019D8" w:rsidRDefault="006568AC" w:rsidP="006568AC">
      <w:pPr>
        <w:pStyle w:val="Prrafodelista"/>
        <w:spacing w:after="0" w:line="240" w:lineRule="auto"/>
        <w:jc w:val="both"/>
        <w:rPr>
          <w:rFonts w:ascii="Verdana" w:hAnsi="Verdana"/>
          <w:sz w:val="20"/>
          <w:szCs w:val="20"/>
        </w:rPr>
      </w:pPr>
      <w:r w:rsidRPr="001019D8">
        <w:rPr>
          <w:rFonts w:ascii="Cambria Math" w:hAnsi="Cambria Math" w:cs="Cambria Math"/>
          <w:sz w:val="20"/>
          <w:szCs w:val="20"/>
        </w:rPr>
        <w:t>‐</w:t>
      </w:r>
      <w:r w:rsidRPr="001019D8">
        <w:rPr>
          <w:rFonts w:ascii="Verdana" w:hAnsi="Verdana"/>
          <w:sz w:val="20"/>
          <w:szCs w:val="20"/>
        </w:rPr>
        <w:t xml:space="preserve"> Estrategia de Supresi</w:t>
      </w:r>
      <w:r w:rsidRPr="001019D8">
        <w:rPr>
          <w:rFonts w:ascii="Verdana" w:hAnsi="Verdana" w:cs="Verdana"/>
          <w:sz w:val="20"/>
          <w:szCs w:val="20"/>
        </w:rPr>
        <w:t>ó</w:t>
      </w:r>
      <w:r w:rsidRPr="001019D8">
        <w:rPr>
          <w:rFonts w:ascii="Verdana" w:hAnsi="Verdana"/>
          <w:sz w:val="20"/>
          <w:szCs w:val="20"/>
        </w:rPr>
        <w:t>n y Erradicaci</w:t>
      </w:r>
      <w:r w:rsidRPr="001019D8">
        <w:rPr>
          <w:rFonts w:ascii="Verdana" w:hAnsi="Verdana" w:cs="Verdana"/>
          <w:sz w:val="20"/>
          <w:szCs w:val="20"/>
        </w:rPr>
        <w:t>ó</w:t>
      </w:r>
      <w:r w:rsidRPr="001019D8">
        <w:rPr>
          <w:rFonts w:ascii="Verdana" w:hAnsi="Verdana"/>
          <w:sz w:val="20"/>
          <w:szCs w:val="20"/>
        </w:rPr>
        <w:t>n: Regiones de Atacama (Provincia de Copiapó al sur), Coquimbo, Valparaíso, Biobío y Araucanía.</w:t>
      </w:r>
    </w:p>
    <w:p w14:paraId="7C7E3C11" w14:textId="77777777" w:rsidR="006568AC" w:rsidRPr="001019D8" w:rsidRDefault="006568AC" w:rsidP="006568AC">
      <w:pPr>
        <w:spacing w:after="0" w:line="240" w:lineRule="auto"/>
        <w:jc w:val="both"/>
        <w:rPr>
          <w:rFonts w:ascii="Verdana" w:hAnsi="Verdana"/>
          <w:sz w:val="20"/>
          <w:szCs w:val="20"/>
        </w:rPr>
      </w:pPr>
    </w:p>
    <w:p w14:paraId="11D35097" w14:textId="77777777" w:rsidR="006568AC" w:rsidRPr="001019D8" w:rsidRDefault="006568AC" w:rsidP="006568AC">
      <w:pPr>
        <w:pStyle w:val="Prrafodelista"/>
        <w:numPr>
          <w:ilvl w:val="0"/>
          <w:numId w:val="13"/>
        </w:numPr>
        <w:spacing w:after="0" w:line="240" w:lineRule="auto"/>
        <w:jc w:val="both"/>
        <w:rPr>
          <w:rFonts w:ascii="Verdana" w:hAnsi="Verdana"/>
          <w:sz w:val="20"/>
          <w:szCs w:val="20"/>
        </w:rPr>
      </w:pPr>
      <w:r w:rsidRPr="001019D8">
        <w:rPr>
          <w:rFonts w:ascii="Verdana" w:hAnsi="Verdana"/>
          <w:sz w:val="20"/>
          <w:szCs w:val="20"/>
        </w:rPr>
        <w:t xml:space="preserve">Este indicador aplica a las siguientes regiones de la </w:t>
      </w:r>
      <w:proofErr w:type="spellStart"/>
      <w:r w:rsidRPr="001019D8">
        <w:rPr>
          <w:rFonts w:ascii="Verdana" w:hAnsi="Verdana"/>
          <w:sz w:val="20"/>
          <w:szCs w:val="20"/>
        </w:rPr>
        <w:t>Macrozona</w:t>
      </w:r>
      <w:proofErr w:type="spellEnd"/>
      <w:r w:rsidRPr="001019D8">
        <w:rPr>
          <w:rFonts w:ascii="Verdana" w:hAnsi="Verdana"/>
          <w:sz w:val="20"/>
          <w:szCs w:val="20"/>
        </w:rPr>
        <w:t xml:space="preserve"> norte: Arica y Parinacota, Tarapacá, Antofagasta, Atacama y Coquimbo.</w:t>
      </w:r>
    </w:p>
    <w:p w14:paraId="72C7606F" w14:textId="77777777" w:rsidR="006568AC" w:rsidRPr="001019D8" w:rsidRDefault="006568AC" w:rsidP="006568AC">
      <w:pPr>
        <w:spacing w:after="0" w:line="240" w:lineRule="auto"/>
        <w:jc w:val="both"/>
        <w:rPr>
          <w:rFonts w:ascii="Verdana" w:hAnsi="Verdana"/>
          <w:sz w:val="20"/>
          <w:szCs w:val="20"/>
        </w:rPr>
      </w:pPr>
    </w:p>
    <w:p w14:paraId="65CB6946" w14:textId="77777777" w:rsidR="006568AC" w:rsidRPr="001019D8" w:rsidRDefault="006568AC" w:rsidP="006568AC">
      <w:pPr>
        <w:pStyle w:val="Prrafodelista"/>
        <w:numPr>
          <w:ilvl w:val="0"/>
          <w:numId w:val="13"/>
        </w:numPr>
        <w:spacing w:after="0" w:line="240" w:lineRule="auto"/>
        <w:jc w:val="both"/>
        <w:rPr>
          <w:rFonts w:ascii="Verdana" w:hAnsi="Verdana"/>
          <w:sz w:val="20"/>
          <w:szCs w:val="20"/>
        </w:rPr>
      </w:pPr>
      <w:r w:rsidRPr="001019D8">
        <w:rPr>
          <w:rFonts w:ascii="Verdana" w:hAnsi="Verdana"/>
          <w:sz w:val="20"/>
          <w:szCs w:val="20"/>
        </w:rPr>
        <w:t>Los conceptos utilizados y su definición para calcular el indicador son:</w:t>
      </w:r>
    </w:p>
    <w:p w14:paraId="47929273" w14:textId="77777777" w:rsidR="006568AC" w:rsidRPr="001019D8" w:rsidRDefault="006568AC" w:rsidP="006568AC">
      <w:pPr>
        <w:pStyle w:val="Prrafodelista"/>
        <w:numPr>
          <w:ilvl w:val="1"/>
          <w:numId w:val="13"/>
        </w:numPr>
        <w:spacing w:after="0" w:line="240" w:lineRule="auto"/>
        <w:jc w:val="both"/>
        <w:rPr>
          <w:rFonts w:ascii="Verdana" w:hAnsi="Verdana"/>
          <w:sz w:val="20"/>
          <w:szCs w:val="20"/>
        </w:rPr>
      </w:pPr>
      <w:r w:rsidRPr="001019D8">
        <w:rPr>
          <w:rFonts w:ascii="Verdana" w:hAnsi="Verdana"/>
          <w:sz w:val="20"/>
          <w:szCs w:val="20"/>
        </w:rPr>
        <w:t>Evento: son los brotes y las capturas simples confirmadas por el Laboratorio Oficial.</w:t>
      </w:r>
    </w:p>
    <w:p w14:paraId="5D090E75" w14:textId="77777777" w:rsidR="006568AC" w:rsidRPr="001019D8" w:rsidRDefault="006568AC" w:rsidP="006568AC">
      <w:pPr>
        <w:pStyle w:val="Prrafodelista"/>
        <w:numPr>
          <w:ilvl w:val="1"/>
          <w:numId w:val="13"/>
        </w:numPr>
        <w:spacing w:after="0" w:line="240" w:lineRule="auto"/>
        <w:jc w:val="both"/>
        <w:rPr>
          <w:rFonts w:ascii="Verdana" w:hAnsi="Verdana"/>
          <w:sz w:val="20"/>
          <w:szCs w:val="20"/>
        </w:rPr>
      </w:pPr>
      <w:r w:rsidRPr="001019D8">
        <w:rPr>
          <w:rFonts w:ascii="Verdana" w:hAnsi="Verdana"/>
          <w:sz w:val="20"/>
          <w:szCs w:val="20"/>
        </w:rPr>
        <w:t>Brote confirmado: captura de más de un ejemplar de una población aislada de una plaga detectada recientemente y la cual se espera sobreviva en el futuro inmediato y cuya identificación ha sido confirmada por el Laboratorio Oficial.</w:t>
      </w:r>
    </w:p>
    <w:p w14:paraId="3F7C7FB0" w14:textId="77777777" w:rsidR="006568AC" w:rsidRPr="001019D8" w:rsidRDefault="006568AC" w:rsidP="006568AC">
      <w:pPr>
        <w:pStyle w:val="Prrafodelista"/>
        <w:numPr>
          <w:ilvl w:val="1"/>
          <w:numId w:val="13"/>
        </w:numPr>
        <w:spacing w:after="0" w:line="240" w:lineRule="auto"/>
        <w:jc w:val="both"/>
        <w:rPr>
          <w:rFonts w:ascii="Verdana" w:hAnsi="Verdana"/>
          <w:sz w:val="20"/>
          <w:szCs w:val="20"/>
        </w:rPr>
      </w:pPr>
      <w:r w:rsidRPr="001019D8">
        <w:rPr>
          <w:rFonts w:ascii="Verdana" w:hAnsi="Verdana"/>
          <w:sz w:val="20"/>
          <w:szCs w:val="20"/>
        </w:rPr>
        <w:t>Captura simple: captura de sólo un ejemplar macho o una hembra no inseminada.</w:t>
      </w:r>
    </w:p>
    <w:p w14:paraId="263B4CF8" w14:textId="77777777" w:rsidR="006568AC" w:rsidRPr="001019D8" w:rsidRDefault="006568AC" w:rsidP="006568AC">
      <w:pPr>
        <w:pStyle w:val="Prrafodelista"/>
        <w:numPr>
          <w:ilvl w:val="1"/>
          <w:numId w:val="13"/>
        </w:numPr>
        <w:spacing w:after="0" w:line="240" w:lineRule="auto"/>
        <w:jc w:val="both"/>
        <w:rPr>
          <w:rFonts w:ascii="Verdana" w:hAnsi="Verdana"/>
          <w:sz w:val="20"/>
          <w:szCs w:val="20"/>
        </w:rPr>
      </w:pPr>
      <w:r w:rsidRPr="001019D8">
        <w:rPr>
          <w:rFonts w:ascii="Verdana" w:hAnsi="Verdana"/>
          <w:sz w:val="20"/>
          <w:szCs w:val="20"/>
        </w:rPr>
        <w:t>Brote confirmado erradicado: cuando el nivel poblacional del insecto es reducido a cero. Como "Declaración Oficial de la Erradicación", se entenderá cuando se acumulen tres ciclos de vida teóricos de desarrollo del insecto, definidos mediante días grados sin capturas de Mosca de la Fruta (</w:t>
      </w:r>
      <w:proofErr w:type="spellStart"/>
      <w:r w:rsidRPr="001019D8">
        <w:rPr>
          <w:rFonts w:ascii="Verdana" w:hAnsi="Verdana"/>
          <w:sz w:val="20"/>
          <w:szCs w:val="20"/>
        </w:rPr>
        <w:t>Ceratitis</w:t>
      </w:r>
      <w:proofErr w:type="spellEnd"/>
      <w:r w:rsidRPr="001019D8">
        <w:rPr>
          <w:rFonts w:ascii="Verdana" w:hAnsi="Verdana"/>
          <w:sz w:val="20"/>
          <w:szCs w:val="20"/>
        </w:rPr>
        <w:t xml:space="preserve"> </w:t>
      </w:r>
      <w:proofErr w:type="spellStart"/>
      <w:r w:rsidRPr="001019D8">
        <w:rPr>
          <w:rFonts w:ascii="Verdana" w:hAnsi="Verdana"/>
          <w:sz w:val="20"/>
          <w:szCs w:val="20"/>
        </w:rPr>
        <w:t>capitata</w:t>
      </w:r>
      <w:proofErr w:type="spellEnd"/>
      <w:r w:rsidRPr="001019D8">
        <w:rPr>
          <w:rFonts w:ascii="Verdana" w:hAnsi="Verdana"/>
          <w:sz w:val="20"/>
          <w:szCs w:val="20"/>
        </w:rPr>
        <w:t>).</w:t>
      </w:r>
    </w:p>
    <w:p w14:paraId="4C048B41" w14:textId="77777777" w:rsidR="006568AC" w:rsidRPr="001019D8" w:rsidRDefault="006568AC" w:rsidP="006568AC">
      <w:pPr>
        <w:pStyle w:val="Prrafodelista"/>
        <w:numPr>
          <w:ilvl w:val="1"/>
          <w:numId w:val="13"/>
        </w:numPr>
        <w:spacing w:after="0" w:line="240" w:lineRule="auto"/>
        <w:jc w:val="both"/>
        <w:rPr>
          <w:rFonts w:ascii="Verdana" w:hAnsi="Verdana"/>
          <w:sz w:val="20"/>
          <w:szCs w:val="20"/>
        </w:rPr>
      </w:pPr>
      <w:r w:rsidRPr="001019D8">
        <w:rPr>
          <w:rFonts w:ascii="Verdana" w:hAnsi="Verdana"/>
          <w:sz w:val="20"/>
          <w:szCs w:val="20"/>
        </w:rPr>
        <w:t>Captura simple eliminada: se considera cuando finalicen oficialmente las actividades de vigilancia generadas por la captura simple, que equivalen a dos ciclos vitales teóricos de desarrollo del insecto.</w:t>
      </w:r>
    </w:p>
    <w:p w14:paraId="655F0930" w14:textId="77777777" w:rsidR="006568AC" w:rsidRPr="001019D8" w:rsidRDefault="006568AC" w:rsidP="006568AC">
      <w:pPr>
        <w:pStyle w:val="Prrafodelista"/>
        <w:numPr>
          <w:ilvl w:val="1"/>
          <w:numId w:val="13"/>
        </w:numPr>
        <w:spacing w:after="0" w:line="240" w:lineRule="auto"/>
        <w:jc w:val="both"/>
        <w:rPr>
          <w:rFonts w:ascii="Verdana" w:hAnsi="Verdana"/>
          <w:sz w:val="20"/>
          <w:szCs w:val="20"/>
        </w:rPr>
      </w:pPr>
      <w:r w:rsidRPr="001019D8">
        <w:rPr>
          <w:rFonts w:ascii="Verdana" w:hAnsi="Verdana"/>
          <w:sz w:val="20"/>
          <w:szCs w:val="20"/>
        </w:rPr>
        <w:t>Período de Pre-</w:t>
      </w:r>
      <w:proofErr w:type="spellStart"/>
      <w:r w:rsidRPr="001019D8">
        <w:rPr>
          <w:rFonts w:ascii="Verdana" w:hAnsi="Verdana"/>
          <w:sz w:val="20"/>
          <w:szCs w:val="20"/>
        </w:rPr>
        <w:t>oviposición</w:t>
      </w:r>
      <w:proofErr w:type="spellEnd"/>
      <w:r w:rsidRPr="001019D8">
        <w:rPr>
          <w:rFonts w:ascii="Verdana" w:hAnsi="Verdana"/>
          <w:sz w:val="20"/>
          <w:szCs w:val="20"/>
        </w:rPr>
        <w:t xml:space="preserve">: días que transcurren desde la emergencia del insecto como adulto desde la pupa, hasta el momento en que realiza la primera postura de huevos. Se entenderá por Mosca de la Fruta a la especie </w:t>
      </w:r>
      <w:proofErr w:type="spellStart"/>
      <w:r w:rsidRPr="001019D8">
        <w:rPr>
          <w:rFonts w:ascii="Verdana" w:hAnsi="Verdana"/>
          <w:sz w:val="20"/>
          <w:szCs w:val="20"/>
        </w:rPr>
        <w:t>Ceratitis</w:t>
      </w:r>
      <w:proofErr w:type="spellEnd"/>
      <w:r w:rsidRPr="001019D8">
        <w:rPr>
          <w:rFonts w:ascii="Verdana" w:hAnsi="Verdana"/>
          <w:sz w:val="20"/>
          <w:szCs w:val="20"/>
        </w:rPr>
        <w:t xml:space="preserve"> </w:t>
      </w:r>
      <w:proofErr w:type="spellStart"/>
      <w:r w:rsidRPr="001019D8">
        <w:rPr>
          <w:rFonts w:ascii="Verdana" w:hAnsi="Verdana"/>
          <w:sz w:val="20"/>
          <w:szCs w:val="20"/>
        </w:rPr>
        <w:t>capitata</w:t>
      </w:r>
      <w:proofErr w:type="spellEnd"/>
      <w:r w:rsidRPr="001019D8">
        <w:rPr>
          <w:rFonts w:ascii="Verdana" w:hAnsi="Verdana"/>
          <w:sz w:val="20"/>
          <w:szCs w:val="20"/>
        </w:rPr>
        <w:t xml:space="preserve"> (</w:t>
      </w:r>
      <w:proofErr w:type="spellStart"/>
      <w:r w:rsidRPr="001019D8">
        <w:rPr>
          <w:rFonts w:ascii="Verdana" w:hAnsi="Verdana"/>
          <w:sz w:val="20"/>
          <w:szCs w:val="20"/>
        </w:rPr>
        <w:t>Wied</w:t>
      </w:r>
      <w:proofErr w:type="spellEnd"/>
      <w:r w:rsidRPr="001019D8">
        <w:rPr>
          <w:rFonts w:ascii="Verdana" w:hAnsi="Verdana"/>
          <w:sz w:val="20"/>
          <w:szCs w:val="20"/>
        </w:rPr>
        <w:t>).</w:t>
      </w:r>
    </w:p>
    <w:p w14:paraId="09F068B5" w14:textId="77777777" w:rsidR="00464CB1" w:rsidRPr="001019D8" w:rsidRDefault="00464CB1" w:rsidP="00464CB1">
      <w:pPr>
        <w:pStyle w:val="Prrafodelista"/>
        <w:spacing w:after="0" w:line="240" w:lineRule="auto"/>
        <w:ind w:left="1440"/>
        <w:jc w:val="both"/>
        <w:rPr>
          <w:rFonts w:ascii="Verdana" w:hAnsi="Verdana"/>
          <w:sz w:val="20"/>
          <w:szCs w:val="20"/>
        </w:rPr>
      </w:pPr>
    </w:p>
    <w:p w14:paraId="66ED9B4D" w14:textId="0F8A909E" w:rsidR="006568AC" w:rsidRPr="001019D8" w:rsidRDefault="006568AC" w:rsidP="006568AC">
      <w:pPr>
        <w:pStyle w:val="Prrafodelista"/>
        <w:spacing w:after="0" w:line="240" w:lineRule="auto"/>
        <w:jc w:val="both"/>
        <w:rPr>
          <w:rFonts w:ascii="Verdana" w:hAnsi="Verdana"/>
          <w:sz w:val="20"/>
          <w:szCs w:val="20"/>
        </w:rPr>
      </w:pPr>
      <w:r w:rsidRPr="001019D8">
        <w:rPr>
          <w:rFonts w:ascii="Verdana" w:hAnsi="Verdana"/>
          <w:sz w:val="20"/>
          <w:szCs w:val="20"/>
        </w:rPr>
        <w:t>Se contabilizarán los Brotes y las Capturas simples detectadas entre el 01 de enero y el 31 de marzo del año t y entre 01 de abril y 31 de diciembre del año t-</w:t>
      </w:r>
      <w:r w:rsidRPr="001019D8">
        <w:rPr>
          <w:rFonts w:ascii="Verdana" w:hAnsi="Verdana"/>
          <w:sz w:val="20"/>
          <w:szCs w:val="20"/>
        </w:rPr>
        <w:lastRenderedPageBreak/>
        <w:t>1, cuya última captura o detección de estado inmaduro haya ocurrido antes del 31 de marzo del año t. Eventos detectados entre el 01 de abril y 31 de diciembre del año t y eventos con fecha de última captura posterior al 31 de marzo del año t serán contabil</w:t>
      </w:r>
      <w:r w:rsidR="008F31D8" w:rsidRPr="001019D8">
        <w:rPr>
          <w:rFonts w:ascii="Verdana" w:hAnsi="Verdana"/>
          <w:sz w:val="20"/>
          <w:szCs w:val="20"/>
        </w:rPr>
        <w:t>i</w:t>
      </w:r>
      <w:r w:rsidRPr="001019D8">
        <w:rPr>
          <w:rFonts w:ascii="Verdana" w:hAnsi="Verdana"/>
          <w:sz w:val="20"/>
          <w:szCs w:val="20"/>
        </w:rPr>
        <w:t>zados al año t+1, excepto que, por razones climatológicas (por una primavera o verano adelantado) logre acumular 325,2 días grados en el mismo año, sumado a los días de pre-</w:t>
      </w:r>
      <w:proofErr w:type="spellStart"/>
      <w:r w:rsidRPr="001019D8">
        <w:rPr>
          <w:rFonts w:ascii="Verdana" w:hAnsi="Verdana"/>
          <w:sz w:val="20"/>
          <w:szCs w:val="20"/>
        </w:rPr>
        <w:t>oviposición</w:t>
      </w:r>
      <w:proofErr w:type="spellEnd"/>
      <w:r w:rsidRPr="001019D8">
        <w:rPr>
          <w:rFonts w:ascii="Verdana" w:hAnsi="Verdana"/>
          <w:sz w:val="20"/>
          <w:szCs w:val="20"/>
        </w:rPr>
        <w:t xml:space="preserve"> (5, 10 o 15 días), entonces se ingresará este brote en el año t y no pasará al año siguiente.</w:t>
      </w:r>
    </w:p>
    <w:p w14:paraId="446BD7FA" w14:textId="77777777" w:rsidR="006568AC" w:rsidRPr="001019D8" w:rsidRDefault="006568AC" w:rsidP="006568AC">
      <w:pPr>
        <w:spacing w:after="0" w:line="240" w:lineRule="auto"/>
        <w:jc w:val="both"/>
        <w:rPr>
          <w:rFonts w:ascii="Verdana" w:hAnsi="Verdana"/>
          <w:sz w:val="20"/>
          <w:szCs w:val="20"/>
        </w:rPr>
      </w:pPr>
    </w:p>
    <w:p w14:paraId="78496716" w14:textId="77777777" w:rsidR="006568AC" w:rsidRPr="001019D8" w:rsidRDefault="006568AC" w:rsidP="006568AC">
      <w:pPr>
        <w:pStyle w:val="Prrafodelista"/>
        <w:numPr>
          <w:ilvl w:val="0"/>
          <w:numId w:val="13"/>
        </w:numPr>
        <w:spacing w:after="0" w:line="240" w:lineRule="auto"/>
        <w:jc w:val="both"/>
        <w:rPr>
          <w:rFonts w:ascii="Verdana" w:hAnsi="Verdana"/>
          <w:sz w:val="20"/>
          <w:szCs w:val="20"/>
        </w:rPr>
      </w:pPr>
      <w:r w:rsidRPr="001019D8">
        <w:rPr>
          <w:rFonts w:ascii="Verdana" w:hAnsi="Verdana"/>
          <w:sz w:val="20"/>
          <w:szCs w:val="20"/>
        </w:rPr>
        <w:t>El indicador considera las fiscalizaciones a las siguientes normativas:</w:t>
      </w:r>
    </w:p>
    <w:p w14:paraId="3304ABF5" w14:textId="77777777" w:rsidR="006568AC" w:rsidRPr="001019D8" w:rsidRDefault="006568AC" w:rsidP="006568AC">
      <w:pPr>
        <w:pStyle w:val="Prrafodelista"/>
        <w:spacing w:after="0" w:line="240" w:lineRule="auto"/>
        <w:jc w:val="both"/>
        <w:rPr>
          <w:rFonts w:ascii="Verdana" w:hAnsi="Verdana"/>
          <w:sz w:val="20"/>
          <w:szCs w:val="20"/>
        </w:rPr>
      </w:pPr>
      <w:r w:rsidRPr="001019D8">
        <w:rPr>
          <w:rFonts w:ascii="Verdana" w:hAnsi="Verdana"/>
          <w:sz w:val="20"/>
          <w:szCs w:val="20"/>
        </w:rPr>
        <w:t>1. Sistema nacional de certificación de productos orgánicos agrícolas.</w:t>
      </w:r>
    </w:p>
    <w:p w14:paraId="55459E4F" w14:textId="77777777" w:rsidR="006568AC" w:rsidRPr="001019D8" w:rsidRDefault="006568AC" w:rsidP="006568AC">
      <w:pPr>
        <w:pStyle w:val="Prrafodelista"/>
        <w:spacing w:after="0" w:line="240" w:lineRule="auto"/>
        <w:jc w:val="both"/>
        <w:rPr>
          <w:rFonts w:ascii="Verdana" w:hAnsi="Verdana"/>
          <w:sz w:val="20"/>
          <w:szCs w:val="20"/>
        </w:rPr>
      </w:pPr>
      <w:r w:rsidRPr="001019D8">
        <w:rPr>
          <w:rFonts w:ascii="Verdana" w:hAnsi="Verdana"/>
          <w:sz w:val="20"/>
          <w:szCs w:val="20"/>
        </w:rPr>
        <w:t>2. Tenedores de fauna silvestre.</w:t>
      </w:r>
    </w:p>
    <w:p w14:paraId="6AD72167" w14:textId="77777777" w:rsidR="006568AC" w:rsidRPr="001019D8" w:rsidRDefault="006568AC" w:rsidP="006568AC">
      <w:pPr>
        <w:pStyle w:val="Prrafodelista"/>
        <w:spacing w:after="0" w:line="240" w:lineRule="auto"/>
        <w:jc w:val="both"/>
        <w:rPr>
          <w:rFonts w:ascii="Verdana" w:hAnsi="Verdana"/>
          <w:sz w:val="20"/>
          <w:szCs w:val="20"/>
        </w:rPr>
      </w:pPr>
      <w:r w:rsidRPr="001019D8">
        <w:rPr>
          <w:rFonts w:ascii="Verdana" w:hAnsi="Verdana"/>
          <w:sz w:val="20"/>
          <w:szCs w:val="20"/>
        </w:rPr>
        <w:t>3. Comerciantes de semillas y viveros de plantas.</w:t>
      </w:r>
    </w:p>
    <w:p w14:paraId="5A294B0D" w14:textId="77777777" w:rsidR="006568AC" w:rsidRPr="001019D8" w:rsidRDefault="006568AC" w:rsidP="006568AC">
      <w:pPr>
        <w:pStyle w:val="Prrafodelista"/>
        <w:spacing w:after="0" w:line="240" w:lineRule="auto"/>
        <w:jc w:val="both"/>
        <w:rPr>
          <w:rFonts w:ascii="Verdana" w:hAnsi="Verdana"/>
          <w:sz w:val="20"/>
          <w:szCs w:val="20"/>
        </w:rPr>
      </w:pPr>
      <w:r w:rsidRPr="001019D8">
        <w:rPr>
          <w:rFonts w:ascii="Verdana" w:hAnsi="Verdana"/>
          <w:sz w:val="20"/>
          <w:szCs w:val="20"/>
        </w:rPr>
        <w:t>4. Uso y aplicación de plaguicidas:</w:t>
      </w:r>
    </w:p>
    <w:p w14:paraId="7D311B71" w14:textId="77777777" w:rsidR="006568AC" w:rsidRPr="001019D8" w:rsidRDefault="006568AC" w:rsidP="006568AC">
      <w:pPr>
        <w:pStyle w:val="Prrafodelista"/>
        <w:spacing w:after="0" w:line="240" w:lineRule="auto"/>
        <w:jc w:val="both"/>
        <w:rPr>
          <w:rFonts w:ascii="Verdana" w:hAnsi="Verdana"/>
          <w:sz w:val="20"/>
          <w:szCs w:val="20"/>
        </w:rPr>
      </w:pPr>
      <w:r w:rsidRPr="001019D8">
        <w:rPr>
          <w:rFonts w:ascii="Verdana" w:hAnsi="Verdana"/>
          <w:sz w:val="20"/>
          <w:szCs w:val="20"/>
        </w:rPr>
        <w:t xml:space="preserve">  4.1 En explotaciones agrícolas y forestales.</w:t>
      </w:r>
    </w:p>
    <w:p w14:paraId="5FF6C991" w14:textId="77777777" w:rsidR="006568AC" w:rsidRPr="001019D8" w:rsidRDefault="006568AC" w:rsidP="006568AC">
      <w:pPr>
        <w:pStyle w:val="Prrafodelista"/>
        <w:spacing w:after="0" w:line="240" w:lineRule="auto"/>
        <w:jc w:val="both"/>
        <w:rPr>
          <w:rFonts w:ascii="Verdana" w:hAnsi="Verdana"/>
          <w:sz w:val="20"/>
          <w:szCs w:val="20"/>
        </w:rPr>
      </w:pPr>
      <w:r w:rsidRPr="001019D8">
        <w:rPr>
          <w:rFonts w:ascii="Verdana" w:hAnsi="Verdana"/>
          <w:sz w:val="20"/>
          <w:szCs w:val="20"/>
        </w:rPr>
        <w:t xml:space="preserve">  4.2 En Estaciones experimentales.</w:t>
      </w:r>
    </w:p>
    <w:p w14:paraId="199FA1E9" w14:textId="77777777" w:rsidR="006568AC" w:rsidRPr="001019D8" w:rsidRDefault="006568AC" w:rsidP="006568AC">
      <w:pPr>
        <w:pStyle w:val="Prrafodelista"/>
        <w:spacing w:after="0" w:line="240" w:lineRule="auto"/>
        <w:jc w:val="both"/>
        <w:rPr>
          <w:rFonts w:ascii="Verdana" w:hAnsi="Verdana"/>
          <w:sz w:val="20"/>
          <w:szCs w:val="20"/>
        </w:rPr>
      </w:pPr>
      <w:r w:rsidRPr="001019D8">
        <w:rPr>
          <w:rFonts w:ascii="Verdana" w:hAnsi="Verdana"/>
          <w:sz w:val="20"/>
          <w:szCs w:val="20"/>
        </w:rPr>
        <w:t xml:space="preserve">5. Comercio de plaguicidas y fertilizantes: </w:t>
      </w:r>
    </w:p>
    <w:p w14:paraId="1C132025" w14:textId="77777777" w:rsidR="006568AC" w:rsidRPr="001019D8" w:rsidRDefault="006568AC" w:rsidP="006568AC">
      <w:pPr>
        <w:pStyle w:val="Prrafodelista"/>
        <w:spacing w:after="0" w:line="240" w:lineRule="auto"/>
        <w:jc w:val="both"/>
        <w:rPr>
          <w:rFonts w:ascii="Verdana" w:hAnsi="Verdana"/>
          <w:sz w:val="20"/>
          <w:szCs w:val="20"/>
        </w:rPr>
      </w:pPr>
      <w:r w:rsidRPr="001019D8">
        <w:rPr>
          <w:rFonts w:ascii="Verdana" w:hAnsi="Verdana"/>
          <w:sz w:val="20"/>
          <w:szCs w:val="20"/>
        </w:rPr>
        <w:t xml:space="preserve">  5.1 En Comercio de plaguicidas.</w:t>
      </w:r>
    </w:p>
    <w:p w14:paraId="24C4DD45" w14:textId="77777777" w:rsidR="006568AC" w:rsidRPr="001019D8" w:rsidRDefault="006568AC" w:rsidP="006568AC">
      <w:pPr>
        <w:pStyle w:val="Prrafodelista"/>
        <w:spacing w:after="0" w:line="240" w:lineRule="auto"/>
        <w:jc w:val="both"/>
        <w:rPr>
          <w:rFonts w:ascii="Verdana" w:hAnsi="Verdana"/>
          <w:sz w:val="20"/>
          <w:szCs w:val="20"/>
        </w:rPr>
      </w:pPr>
      <w:r w:rsidRPr="001019D8">
        <w:rPr>
          <w:rFonts w:ascii="Verdana" w:hAnsi="Verdana"/>
          <w:sz w:val="20"/>
          <w:szCs w:val="20"/>
        </w:rPr>
        <w:t xml:space="preserve">  5.2 En Formuladoras de plaguicidas nacionales.</w:t>
      </w:r>
    </w:p>
    <w:p w14:paraId="2F6971E4" w14:textId="77777777" w:rsidR="006568AC" w:rsidRPr="001019D8" w:rsidRDefault="006568AC" w:rsidP="006568AC">
      <w:pPr>
        <w:pStyle w:val="Prrafodelista"/>
        <w:spacing w:after="0" w:line="240" w:lineRule="auto"/>
        <w:jc w:val="both"/>
        <w:rPr>
          <w:rFonts w:ascii="Verdana" w:hAnsi="Verdana"/>
          <w:sz w:val="20"/>
          <w:szCs w:val="20"/>
        </w:rPr>
      </w:pPr>
      <w:r w:rsidRPr="001019D8">
        <w:rPr>
          <w:rFonts w:ascii="Verdana" w:hAnsi="Verdana"/>
          <w:sz w:val="20"/>
          <w:szCs w:val="20"/>
        </w:rPr>
        <w:t xml:space="preserve">  5.3 En Comercio de fertilizantes.</w:t>
      </w:r>
    </w:p>
    <w:p w14:paraId="7B42F8CA" w14:textId="77777777" w:rsidR="006568AC" w:rsidRPr="001019D8" w:rsidRDefault="006568AC" w:rsidP="006568AC">
      <w:pPr>
        <w:pStyle w:val="Prrafodelista"/>
        <w:spacing w:after="0" w:line="240" w:lineRule="auto"/>
        <w:jc w:val="both"/>
        <w:rPr>
          <w:rFonts w:ascii="Verdana" w:hAnsi="Verdana"/>
          <w:sz w:val="20"/>
          <w:szCs w:val="20"/>
        </w:rPr>
      </w:pPr>
      <w:r w:rsidRPr="001019D8">
        <w:rPr>
          <w:rFonts w:ascii="Verdana" w:hAnsi="Verdana"/>
          <w:sz w:val="20"/>
          <w:szCs w:val="20"/>
        </w:rPr>
        <w:t>6. Viveros - Ley de Protección Agrícola.</w:t>
      </w:r>
    </w:p>
    <w:p w14:paraId="534F49BA" w14:textId="77777777" w:rsidR="006568AC" w:rsidRPr="001019D8" w:rsidRDefault="006568AC" w:rsidP="006568AC">
      <w:pPr>
        <w:pStyle w:val="Prrafodelista"/>
        <w:spacing w:after="0" w:line="240" w:lineRule="auto"/>
        <w:jc w:val="both"/>
        <w:rPr>
          <w:rFonts w:ascii="Verdana" w:hAnsi="Verdana"/>
          <w:sz w:val="20"/>
          <w:szCs w:val="20"/>
        </w:rPr>
      </w:pPr>
      <w:r w:rsidRPr="001019D8">
        <w:rPr>
          <w:rFonts w:ascii="Verdana" w:hAnsi="Verdana"/>
          <w:sz w:val="20"/>
          <w:szCs w:val="20"/>
        </w:rPr>
        <w:t>7. Depósitos de plantas - Ley de Protección Agrícola.</w:t>
      </w:r>
    </w:p>
    <w:p w14:paraId="23CC5796" w14:textId="77777777" w:rsidR="006568AC" w:rsidRPr="001019D8" w:rsidRDefault="006568AC" w:rsidP="006568AC">
      <w:pPr>
        <w:pStyle w:val="Prrafodelista"/>
        <w:spacing w:after="0" w:line="240" w:lineRule="auto"/>
        <w:jc w:val="both"/>
        <w:rPr>
          <w:rFonts w:ascii="Verdana" w:hAnsi="Verdana"/>
          <w:sz w:val="20"/>
          <w:szCs w:val="20"/>
        </w:rPr>
      </w:pPr>
      <w:r w:rsidRPr="001019D8">
        <w:rPr>
          <w:rFonts w:ascii="Verdana" w:hAnsi="Verdana"/>
          <w:sz w:val="20"/>
          <w:szCs w:val="20"/>
        </w:rPr>
        <w:t>8. Productores de bebidas alcohólicas:</w:t>
      </w:r>
    </w:p>
    <w:p w14:paraId="7148E85C" w14:textId="77777777" w:rsidR="006568AC" w:rsidRPr="001019D8" w:rsidRDefault="006568AC" w:rsidP="006568AC">
      <w:pPr>
        <w:pStyle w:val="Prrafodelista"/>
        <w:spacing w:after="0" w:line="240" w:lineRule="auto"/>
        <w:jc w:val="both"/>
        <w:rPr>
          <w:rFonts w:ascii="Verdana" w:hAnsi="Verdana"/>
          <w:sz w:val="20"/>
          <w:szCs w:val="20"/>
        </w:rPr>
      </w:pPr>
      <w:r w:rsidRPr="001019D8">
        <w:rPr>
          <w:rFonts w:ascii="Verdana" w:hAnsi="Verdana"/>
          <w:sz w:val="20"/>
          <w:szCs w:val="20"/>
        </w:rPr>
        <w:t xml:space="preserve">  8.1 En Productores.</w:t>
      </w:r>
    </w:p>
    <w:p w14:paraId="15070D95" w14:textId="77777777" w:rsidR="006568AC" w:rsidRPr="001019D8" w:rsidRDefault="006568AC" w:rsidP="006568AC">
      <w:pPr>
        <w:pStyle w:val="Prrafodelista"/>
        <w:spacing w:after="0" w:line="240" w:lineRule="auto"/>
        <w:jc w:val="both"/>
        <w:rPr>
          <w:rFonts w:ascii="Verdana" w:hAnsi="Verdana"/>
          <w:sz w:val="20"/>
          <w:szCs w:val="20"/>
        </w:rPr>
      </w:pPr>
      <w:r w:rsidRPr="001019D8">
        <w:rPr>
          <w:rFonts w:ascii="Verdana" w:hAnsi="Verdana"/>
          <w:sz w:val="20"/>
          <w:szCs w:val="20"/>
        </w:rPr>
        <w:t xml:space="preserve">  8.2 En Plantaciones de vides (catastro).</w:t>
      </w:r>
    </w:p>
    <w:p w14:paraId="4AA0BFDB" w14:textId="77777777" w:rsidR="006568AC" w:rsidRPr="001019D8" w:rsidRDefault="006568AC" w:rsidP="006568AC">
      <w:pPr>
        <w:pStyle w:val="Prrafodelista"/>
        <w:spacing w:after="0" w:line="240" w:lineRule="auto"/>
        <w:jc w:val="both"/>
        <w:rPr>
          <w:rFonts w:ascii="Verdana" w:hAnsi="Verdana"/>
          <w:sz w:val="20"/>
          <w:szCs w:val="20"/>
        </w:rPr>
      </w:pPr>
      <w:r w:rsidRPr="001019D8">
        <w:rPr>
          <w:rFonts w:ascii="Verdana" w:hAnsi="Verdana"/>
          <w:sz w:val="20"/>
          <w:szCs w:val="20"/>
        </w:rPr>
        <w:t xml:space="preserve">  8.3. En Operativo vendimia.</w:t>
      </w:r>
    </w:p>
    <w:p w14:paraId="13ED0D47" w14:textId="77777777" w:rsidR="006568AC" w:rsidRPr="001019D8" w:rsidRDefault="006568AC" w:rsidP="006568AC">
      <w:pPr>
        <w:spacing w:after="0" w:line="240" w:lineRule="auto"/>
        <w:jc w:val="both"/>
        <w:rPr>
          <w:rFonts w:ascii="Verdana" w:hAnsi="Verdana"/>
          <w:sz w:val="20"/>
          <w:szCs w:val="20"/>
        </w:rPr>
      </w:pPr>
    </w:p>
    <w:p w14:paraId="082312AC" w14:textId="77777777" w:rsidR="006568AC" w:rsidRPr="001019D8" w:rsidRDefault="006568AC" w:rsidP="006568AC">
      <w:pPr>
        <w:pStyle w:val="Prrafodelista"/>
        <w:numPr>
          <w:ilvl w:val="0"/>
          <w:numId w:val="13"/>
        </w:numPr>
        <w:spacing w:after="0" w:line="240" w:lineRule="auto"/>
        <w:jc w:val="both"/>
        <w:rPr>
          <w:rFonts w:ascii="Verdana" w:hAnsi="Verdana"/>
          <w:sz w:val="20"/>
          <w:szCs w:val="20"/>
        </w:rPr>
      </w:pPr>
      <w:r w:rsidRPr="001019D8">
        <w:rPr>
          <w:rFonts w:ascii="Verdana" w:hAnsi="Verdana"/>
          <w:sz w:val="20"/>
          <w:szCs w:val="20"/>
        </w:rPr>
        <w:t xml:space="preserve">Los certificados </w:t>
      </w:r>
      <w:proofErr w:type="spellStart"/>
      <w:r w:rsidRPr="001019D8">
        <w:rPr>
          <w:rFonts w:ascii="Verdana" w:hAnsi="Verdana"/>
          <w:sz w:val="20"/>
          <w:szCs w:val="20"/>
        </w:rPr>
        <w:t>fito</w:t>
      </w:r>
      <w:proofErr w:type="spellEnd"/>
      <w:r w:rsidRPr="001019D8">
        <w:rPr>
          <w:rFonts w:ascii="Verdana" w:hAnsi="Verdana"/>
          <w:sz w:val="20"/>
          <w:szCs w:val="20"/>
        </w:rPr>
        <w:t xml:space="preserve"> y zoosanitarios de exportación reemitidos por causa SAG, corresponden a aquellos certificados detectados tanto en Chile como en el país de destino con faltas por causas atribuibles al SAG y que, por tal razón, deben ser reemitidos. Se acotan las reemisiones que sean consideradas en la medición a aquellos errores que sean solo de fondo y no de forma.</w:t>
      </w:r>
    </w:p>
    <w:p w14:paraId="448FF49A" w14:textId="77777777" w:rsidR="006568AC" w:rsidRPr="001019D8" w:rsidRDefault="006568AC" w:rsidP="006568AC">
      <w:pPr>
        <w:pStyle w:val="Prrafodelista"/>
        <w:spacing w:after="0" w:line="240" w:lineRule="auto"/>
        <w:jc w:val="both"/>
        <w:rPr>
          <w:rFonts w:ascii="Verdana" w:hAnsi="Verdana"/>
          <w:sz w:val="20"/>
          <w:szCs w:val="20"/>
        </w:rPr>
      </w:pPr>
      <w:r w:rsidRPr="001019D8">
        <w:rPr>
          <w:rFonts w:ascii="Verdana" w:hAnsi="Verdana"/>
          <w:sz w:val="20"/>
          <w:szCs w:val="20"/>
        </w:rPr>
        <w:t xml:space="preserve">Por su parte, los documentos aclaratorios emitidos por causa SAG asociados al proceso de certificación de exportaciones, corresponden a aquellos documentos que son emitidos en caso que no se pida la reemisión de un certificado y que permiten liberar el embarque en destino, tales como carta aclaratoria, adenda, carta </w:t>
      </w:r>
      <w:proofErr w:type="spellStart"/>
      <w:r w:rsidRPr="001019D8">
        <w:rPr>
          <w:rFonts w:ascii="Verdana" w:hAnsi="Verdana"/>
          <w:sz w:val="20"/>
          <w:szCs w:val="20"/>
        </w:rPr>
        <w:t>rectificatoria</w:t>
      </w:r>
      <w:proofErr w:type="spellEnd"/>
      <w:r w:rsidRPr="001019D8">
        <w:rPr>
          <w:rFonts w:ascii="Verdana" w:hAnsi="Verdana"/>
          <w:sz w:val="20"/>
          <w:szCs w:val="20"/>
        </w:rPr>
        <w:t>, etc.</w:t>
      </w:r>
    </w:p>
    <w:p w14:paraId="61A7808D" w14:textId="77777777" w:rsidR="00464CB1" w:rsidRPr="001019D8" w:rsidRDefault="00464CB1" w:rsidP="006568AC">
      <w:pPr>
        <w:pStyle w:val="Prrafodelista"/>
        <w:spacing w:after="0" w:line="240" w:lineRule="auto"/>
        <w:jc w:val="both"/>
        <w:rPr>
          <w:rFonts w:ascii="Verdana" w:hAnsi="Verdana"/>
          <w:sz w:val="20"/>
          <w:szCs w:val="20"/>
        </w:rPr>
      </w:pPr>
    </w:p>
    <w:p w14:paraId="71FB7B6F" w14:textId="77777777" w:rsidR="006568AC" w:rsidRPr="001019D8" w:rsidRDefault="006568AC" w:rsidP="006568AC">
      <w:pPr>
        <w:pStyle w:val="Prrafodelista"/>
        <w:spacing w:after="0" w:line="240" w:lineRule="auto"/>
        <w:jc w:val="both"/>
        <w:rPr>
          <w:rFonts w:ascii="Verdana" w:hAnsi="Verdana"/>
          <w:sz w:val="20"/>
          <w:szCs w:val="20"/>
        </w:rPr>
      </w:pPr>
      <w:r w:rsidRPr="001019D8">
        <w:rPr>
          <w:rFonts w:ascii="Verdana" w:hAnsi="Verdana"/>
          <w:sz w:val="20"/>
          <w:szCs w:val="20"/>
        </w:rPr>
        <w:t>En ambos casos, se consideran como causas atribuibles al SAG:</w:t>
      </w:r>
    </w:p>
    <w:p w14:paraId="57BB45D6" w14:textId="77777777" w:rsidR="006568AC" w:rsidRPr="001019D8" w:rsidRDefault="006568AC" w:rsidP="006568AC">
      <w:pPr>
        <w:pStyle w:val="Prrafodelista"/>
        <w:numPr>
          <w:ilvl w:val="2"/>
          <w:numId w:val="13"/>
        </w:numPr>
        <w:spacing w:after="0" w:line="240" w:lineRule="auto"/>
        <w:ind w:left="993" w:hanging="284"/>
        <w:jc w:val="both"/>
        <w:rPr>
          <w:rFonts w:ascii="Verdana" w:hAnsi="Verdana"/>
          <w:sz w:val="20"/>
          <w:szCs w:val="20"/>
        </w:rPr>
      </w:pPr>
      <w:r w:rsidRPr="001019D8">
        <w:rPr>
          <w:rFonts w:ascii="Verdana" w:hAnsi="Verdana"/>
          <w:sz w:val="20"/>
          <w:szCs w:val="20"/>
        </w:rPr>
        <w:t>Errores de escritura (a excepción de datos erróneos entregados por el privado en solicitud).</w:t>
      </w:r>
    </w:p>
    <w:p w14:paraId="46730DF7" w14:textId="77777777" w:rsidR="006568AC" w:rsidRPr="001019D8" w:rsidRDefault="006568AC" w:rsidP="006568AC">
      <w:pPr>
        <w:pStyle w:val="Prrafodelista"/>
        <w:numPr>
          <w:ilvl w:val="2"/>
          <w:numId w:val="13"/>
        </w:numPr>
        <w:spacing w:after="0" w:line="240" w:lineRule="auto"/>
        <w:ind w:left="993" w:hanging="284"/>
        <w:jc w:val="both"/>
        <w:rPr>
          <w:rFonts w:ascii="Verdana" w:hAnsi="Verdana"/>
          <w:sz w:val="20"/>
          <w:szCs w:val="20"/>
        </w:rPr>
      </w:pPr>
      <w:r w:rsidRPr="001019D8">
        <w:rPr>
          <w:rFonts w:ascii="Verdana" w:hAnsi="Verdana"/>
          <w:sz w:val="20"/>
          <w:szCs w:val="20"/>
        </w:rPr>
        <w:t>Certificado Fitosanitario o Zoosanitario de Exportación o sus anexos incompletos.</w:t>
      </w:r>
    </w:p>
    <w:p w14:paraId="46EB93CC" w14:textId="77777777" w:rsidR="006568AC" w:rsidRPr="001019D8" w:rsidRDefault="006568AC" w:rsidP="006568AC">
      <w:pPr>
        <w:pStyle w:val="Prrafodelista"/>
        <w:numPr>
          <w:ilvl w:val="2"/>
          <w:numId w:val="13"/>
        </w:numPr>
        <w:spacing w:after="0" w:line="240" w:lineRule="auto"/>
        <w:ind w:left="993" w:hanging="284"/>
        <w:jc w:val="both"/>
        <w:rPr>
          <w:rFonts w:ascii="Verdana" w:hAnsi="Verdana"/>
          <w:sz w:val="20"/>
          <w:szCs w:val="20"/>
        </w:rPr>
      </w:pPr>
      <w:r w:rsidRPr="001019D8">
        <w:rPr>
          <w:rFonts w:ascii="Verdana" w:hAnsi="Verdana"/>
          <w:sz w:val="20"/>
          <w:szCs w:val="20"/>
        </w:rPr>
        <w:t>Formato inadecuado del Certificado Zoosanitario de Exportación (Ej. idioma o producto distinto).</w:t>
      </w:r>
    </w:p>
    <w:p w14:paraId="5691D57F" w14:textId="77777777" w:rsidR="006568AC" w:rsidRPr="001019D8" w:rsidRDefault="006568AC" w:rsidP="006568AC">
      <w:pPr>
        <w:pStyle w:val="Prrafodelista"/>
        <w:numPr>
          <w:ilvl w:val="2"/>
          <w:numId w:val="13"/>
        </w:numPr>
        <w:spacing w:after="0" w:line="240" w:lineRule="auto"/>
        <w:ind w:left="993" w:hanging="284"/>
        <w:jc w:val="both"/>
        <w:rPr>
          <w:rFonts w:ascii="Verdana" w:hAnsi="Verdana"/>
          <w:sz w:val="20"/>
          <w:szCs w:val="20"/>
        </w:rPr>
      </w:pPr>
      <w:r w:rsidRPr="001019D8">
        <w:rPr>
          <w:rFonts w:ascii="Verdana" w:hAnsi="Verdana"/>
          <w:sz w:val="20"/>
          <w:szCs w:val="20"/>
        </w:rPr>
        <w:t>Incumplimiento del producto o la partida en cuanto a requisitos sanitarios a certificar.</w:t>
      </w:r>
    </w:p>
    <w:p w14:paraId="33B8418E" w14:textId="77777777" w:rsidR="006568AC" w:rsidRPr="001019D8" w:rsidRDefault="006568AC" w:rsidP="006568AC">
      <w:pPr>
        <w:spacing w:after="0" w:line="240" w:lineRule="auto"/>
        <w:jc w:val="both"/>
        <w:rPr>
          <w:rFonts w:ascii="Verdana" w:hAnsi="Verdana"/>
          <w:sz w:val="20"/>
          <w:szCs w:val="20"/>
        </w:rPr>
      </w:pPr>
    </w:p>
    <w:p w14:paraId="3EB7A4F3" w14:textId="77777777" w:rsidR="006568AC" w:rsidRPr="001019D8" w:rsidRDefault="006568AC" w:rsidP="006568AC">
      <w:pPr>
        <w:pStyle w:val="Prrafodelista"/>
        <w:numPr>
          <w:ilvl w:val="0"/>
          <w:numId w:val="13"/>
        </w:numPr>
        <w:spacing w:after="0" w:line="240" w:lineRule="auto"/>
        <w:jc w:val="both"/>
        <w:rPr>
          <w:rFonts w:ascii="Verdana" w:hAnsi="Verdana"/>
          <w:sz w:val="20"/>
          <w:szCs w:val="20"/>
        </w:rPr>
      </w:pPr>
      <w:r w:rsidRPr="001019D8">
        <w:rPr>
          <w:rFonts w:ascii="Verdana" w:hAnsi="Verdana"/>
          <w:sz w:val="20"/>
          <w:szCs w:val="20"/>
        </w:rPr>
        <w:t xml:space="preserve">Hay 11 procesos o canales de atención con medición de la satisfacción de clientes: Inspección de equipaje acompañado de pasajeros y tripulantes que ingresen al país, vía terrestre, aérea o marítima, por controles fronterizos con presencia SAG permanente; Inspección del medio de transporte terrestre en el control fronterizo; Certificación de productos pecuarios para la exportación; Certificación fitosanitaria para la exportación de productos agrícolas y forestales; Certificación </w:t>
      </w:r>
      <w:r w:rsidRPr="001019D8">
        <w:rPr>
          <w:rFonts w:ascii="Verdana" w:hAnsi="Verdana"/>
          <w:sz w:val="20"/>
          <w:szCs w:val="20"/>
        </w:rPr>
        <w:lastRenderedPageBreak/>
        <w:t>varietal de semillas para la exportación; Registro de productos farmacéuticos de uso exclusivamente veterinario; Autorización de Plaguicidas;  Registro de Variedades Protegidas; Sistema de Incentivos para la Recuperación de Suelos Degradados;  Sistema integrado de atención ciudadana (Atención presencial); y Sistema integrado de atención ciudadana (</w:t>
      </w:r>
      <w:proofErr w:type="spellStart"/>
      <w:r w:rsidRPr="001019D8">
        <w:rPr>
          <w:rFonts w:ascii="Verdana" w:hAnsi="Verdana"/>
          <w:sz w:val="20"/>
          <w:szCs w:val="20"/>
        </w:rPr>
        <w:t>Call</w:t>
      </w:r>
      <w:proofErr w:type="spellEnd"/>
      <w:r w:rsidRPr="001019D8">
        <w:rPr>
          <w:rFonts w:ascii="Verdana" w:hAnsi="Verdana"/>
          <w:sz w:val="20"/>
          <w:szCs w:val="20"/>
        </w:rPr>
        <w:t xml:space="preserve"> center). </w:t>
      </w:r>
    </w:p>
    <w:p w14:paraId="263FD93E" w14:textId="77777777" w:rsidR="006568AC" w:rsidRPr="001019D8" w:rsidRDefault="006568AC" w:rsidP="006568AC">
      <w:pPr>
        <w:spacing w:after="0" w:line="240" w:lineRule="auto"/>
        <w:jc w:val="both"/>
        <w:rPr>
          <w:rFonts w:ascii="Verdana" w:hAnsi="Verdana"/>
          <w:sz w:val="20"/>
          <w:szCs w:val="20"/>
        </w:rPr>
      </w:pPr>
    </w:p>
    <w:p w14:paraId="7A7DE6A1" w14:textId="77777777" w:rsidR="006568AC" w:rsidRPr="001019D8" w:rsidRDefault="006568AC" w:rsidP="006568AC">
      <w:pPr>
        <w:pStyle w:val="Prrafodelista"/>
        <w:numPr>
          <w:ilvl w:val="0"/>
          <w:numId w:val="13"/>
        </w:numPr>
        <w:spacing w:after="0" w:line="240" w:lineRule="auto"/>
        <w:jc w:val="both"/>
        <w:rPr>
          <w:rFonts w:ascii="Verdana" w:hAnsi="Verdana"/>
          <w:sz w:val="20"/>
          <w:szCs w:val="20"/>
        </w:rPr>
      </w:pPr>
      <w:r w:rsidRPr="001019D8">
        <w:rPr>
          <w:rFonts w:ascii="Verdana" w:hAnsi="Verdana"/>
          <w:sz w:val="20"/>
          <w:szCs w:val="20"/>
        </w:rPr>
        <w:t>Este indicador comprende los siguientes sub indicadores:</w:t>
      </w:r>
    </w:p>
    <w:p w14:paraId="4B0596CA" w14:textId="77777777" w:rsidR="00464CB1" w:rsidRPr="001019D8" w:rsidRDefault="00464CB1" w:rsidP="00464CB1">
      <w:pPr>
        <w:spacing w:after="0" w:line="240" w:lineRule="auto"/>
        <w:jc w:val="both"/>
        <w:rPr>
          <w:rFonts w:ascii="Verdana" w:hAnsi="Verdana"/>
          <w:sz w:val="20"/>
          <w:szCs w:val="20"/>
        </w:rPr>
      </w:pPr>
    </w:p>
    <w:p w14:paraId="3076973B" w14:textId="77777777" w:rsidR="006568AC" w:rsidRPr="001019D8" w:rsidRDefault="006568AC" w:rsidP="006568AC">
      <w:pPr>
        <w:pStyle w:val="Prrafodelista"/>
        <w:spacing w:after="0" w:line="240" w:lineRule="auto"/>
        <w:jc w:val="both"/>
        <w:rPr>
          <w:rFonts w:ascii="Verdana" w:hAnsi="Verdana"/>
          <w:sz w:val="20"/>
          <w:szCs w:val="20"/>
        </w:rPr>
      </w:pPr>
      <w:r w:rsidRPr="001019D8">
        <w:rPr>
          <w:rFonts w:ascii="Verdana" w:hAnsi="Verdana"/>
          <w:sz w:val="20"/>
          <w:szCs w:val="20"/>
        </w:rPr>
        <w:t>Numerador: Número total de solicitudes de autorización, renovación o modificación de plaguicidas en proceso, que a la fecha de la medición están dentro del plazo.</w:t>
      </w:r>
    </w:p>
    <w:p w14:paraId="50946FB9" w14:textId="77777777" w:rsidR="00464CB1" w:rsidRPr="001019D8" w:rsidRDefault="00464CB1" w:rsidP="00464CB1">
      <w:pPr>
        <w:spacing w:after="0" w:line="240" w:lineRule="auto"/>
        <w:jc w:val="both"/>
        <w:rPr>
          <w:rFonts w:ascii="Verdana" w:hAnsi="Verdana"/>
          <w:sz w:val="20"/>
          <w:szCs w:val="20"/>
        </w:rPr>
      </w:pPr>
    </w:p>
    <w:p w14:paraId="698EFC5F" w14:textId="77777777" w:rsidR="006568AC" w:rsidRPr="001019D8" w:rsidRDefault="006568AC" w:rsidP="006568AC">
      <w:pPr>
        <w:pStyle w:val="Prrafodelista"/>
        <w:spacing w:after="0" w:line="240" w:lineRule="auto"/>
        <w:jc w:val="both"/>
        <w:rPr>
          <w:rFonts w:ascii="Verdana" w:hAnsi="Verdana"/>
          <w:sz w:val="20"/>
          <w:szCs w:val="20"/>
        </w:rPr>
      </w:pPr>
      <w:r w:rsidRPr="001019D8">
        <w:rPr>
          <w:rFonts w:ascii="Verdana" w:hAnsi="Verdana"/>
          <w:sz w:val="20"/>
          <w:szCs w:val="20"/>
        </w:rPr>
        <w:t>Denominador: Número total de solicitudes de autorización, renovación o modificación de plaguicidas en proceso a la fecha de la medición.</w:t>
      </w:r>
    </w:p>
    <w:p w14:paraId="2D74C57E" w14:textId="77777777" w:rsidR="006568AC" w:rsidRPr="001019D8" w:rsidRDefault="006568AC" w:rsidP="006568AC">
      <w:pPr>
        <w:spacing w:after="0" w:line="240" w:lineRule="auto"/>
        <w:jc w:val="both"/>
        <w:rPr>
          <w:rFonts w:ascii="Verdana" w:hAnsi="Verdana"/>
          <w:sz w:val="20"/>
          <w:szCs w:val="20"/>
        </w:rPr>
      </w:pPr>
    </w:p>
    <w:p w14:paraId="73C94BB6" w14:textId="77777777" w:rsidR="006568AC" w:rsidRPr="001019D8" w:rsidRDefault="006568AC" w:rsidP="006568AC">
      <w:pPr>
        <w:pStyle w:val="Prrafodelista"/>
        <w:numPr>
          <w:ilvl w:val="0"/>
          <w:numId w:val="13"/>
        </w:numPr>
        <w:spacing w:after="0" w:line="240" w:lineRule="auto"/>
        <w:jc w:val="both"/>
        <w:rPr>
          <w:rFonts w:ascii="Verdana" w:hAnsi="Verdana"/>
          <w:sz w:val="20"/>
          <w:szCs w:val="20"/>
        </w:rPr>
      </w:pPr>
      <w:r w:rsidRPr="001019D8">
        <w:rPr>
          <w:rFonts w:ascii="Verdana" w:hAnsi="Verdana"/>
          <w:sz w:val="20"/>
          <w:szCs w:val="20"/>
        </w:rPr>
        <w:t xml:space="preserve">Una denuncia corresponde al aviso de un evento sanitario o una enfermedad que está provocando problemas en una población, ya sea con manifestaciones clínicas de la enfermedad o muerte de animales. Esto se comunica directamente al Servicio a través de los médicos veterinarios sectoriales y ellos solicitan el diagnóstico correspondiente al laboratorio. </w:t>
      </w:r>
    </w:p>
    <w:p w14:paraId="0C6A7643" w14:textId="77777777" w:rsidR="00464CB1" w:rsidRPr="001019D8" w:rsidRDefault="00464CB1" w:rsidP="00464CB1">
      <w:pPr>
        <w:pStyle w:val="Prrafodelista"/>
        <w:spacing w:after="0" w:line="240" w:lineRule="auto"/>
        <w:jc w:val="both"/>
        <w:rPr>
          <w:rFonts w:ascii="Verdana" w:hAnsi="Verdana"/>
          <w:sz w:val="20"/>
          <w:szCs w:val="20"/>
        </w:rPr>
      </w:pPr>
    </w:p>
    <w:p w14:paraId="6B47A69A" w14:textId="77777777" w:rsidR="006568AC" w:rsidRPr="001019D8" w:rsidRDefault="006568AC" w:rsidP="00464CB1">
      <w:pPr>
        <w:pStyle w:val="Prrafodelista"/>
        <w:spacing w:after="0" w:line="240" w:lineRule="auto"/>
        <w:jc w:val="both"/>
        <w:rPr>
          <w:rFonts w:ascii="Verdana" w:hAnsi="Verdana"/>
          <w:sz w:val="20"/>
          <w:szCs w:val="20"/>
        </w:rPr>
      </w:pPr>
      <w:r w:rsidRPr="001019D8">
        <w:rPr>
          <w:rFonts w:ascii="Verdana" w:hAnsi="Verdana"/>
          <w:sz w:val="20"/>
          <w:szCs w:val="20"/>
        </w:rPr>
        <w:t xml:space="preserve">Los análisis serológicos corresponden a la determinación de anticuerpos que se producen frente a una enfermedad determinada. Para esto, existen variadas pruebas, tanto de pruebas de </w:t>
      </w:r>
      <w:proofErr w:type="spellStart"/>
      <w:r w:rsidRPr="001019D8">
        <w:rPr>
          <w:rFonts w:ascii="Verdana" w:hAnsi="Verdana"/>
          <w:sz w:val="20"/>
          <w:szCs w:val="20"/>
        </w:rPr>
        <w:t>pesquisaje</w:t>
      </w:r>
      <w:proofErr w:type="spellEnd"/>
      <w:r w:rsidRPr="001019D8">
        <w:rPr>
          <w:rFonts w:ascii="Verdana" w:hAnsi="Verdana"/>
          <w:sz w:val="20"/>
          <w:szCs w:val="20"/>
        </w:rPr>
        <w:t xml:space="preserve"> (</w:t>
      </w:r>
      <w:proofErr w:type="spellStart"/>
      <w:r w:rsidRPr="001019D8">
        <w:rPr>
          <w:rFonts w:ascii="Verdana" w:hAnsi="Verdana"/>
          <w:sz w:val="20"/>
          <w:szCs w:val="20"/>
        </w:rPr>
        <w:t>screening</w:t>
      </w:r>
      <w:proofErr w:type="spellEnd"/>
      <w:r w:rsidRPr="001019D8">
        <w:rPr>
          <w:rFonts w:ascii="Verdana" w:hAnsi="Verdana"/>
          <w:sz w:val="20"/>
          <w:szCs w:val="20"/>
        </w:rPr>
        <w:t xml:space="preserve">), como confirmatorias. Se contabilizan las muestras serológicas recibidas entre el 01 de enero y el 30 de noviembre del año en cuestión, analizadas en el </w:t>
      </w:r>
      <w:proofErr w:type="spellStart"/>
      <w:r w:rsidRPr="001019D8">
        <w:rPr>
          <w:rFonts w:ascii="Verdana" w:hAnsi="Verdana"/>
          <w:sz w:val="20"/>
          <w:szCs w:val="20"/>
        </w:rPr>
        <w:t>Subdepartamento</w:t>
      </w:r>
      <w:proofErr w:type="spellEnd"/>
      <w:r w:rsidRPr="001019D8">
        <w:rPr>
          <w:rFonts w:ascii="Verdana" w:hAnsi="Verdana"/>
          <w:sz w:val="20"/>
          <w:szCs w:val="20"/>
        </w:rPr>
        <w:t xml:space="preserve"> Laboratorio Pecuario en Lo Aguirre. El tiempo de respuesta de los análisis serológicos varía dependiendo de la técnica diagnóstica utilizada y del número de muestras recibidas, por ello en la meta se considera el tiempo promedio (en días corridos).</w:t>
      </w:r>
    </w:p>
    <w:p w14:paraId="36CF5FFA" w14:textId="77777777" w:rsidR="006568AC" w:rsidRPr="001019D8" w:rsidRDefault="006568AC" w:rsidP="006568AC">
      <w:pPr>
        <w:spacing w:after="0" w:line="240" w:lineRule="auto"/>
        <w:jc w:val="both"/>
        <w:rPr>
          <w:rFonts w:ascii="Verdana" w:hAnsi="Verdana"/>
          <w:sz w:val="20"/>
          <w:szCs w:val="20"/>
        </w:rPr>
      </w:pPr>
    </w:p>
    <w:p w14:paraId="4CA1C160" w14:textId="77777777" w:rsidR="006568AC" w:rsidRPr="001019D8" w:rsidRDefault="006568AC" w:rsidP="009473C1">
      <w:pPr>
        <w:spacing w:after="0" w:line="240" w:lineRule="auto"/>
        <w:rPr>
          <w:rFonts w:ascii="Verdana" w:hAnsi="Verdana" w:cstheme="minorHAnsi"/>
          <w:b/>
        </w:rPr>
      </w:pPr>
    </w:p>
    <w:p w14:paraId="74846B9E" w14:textId="77777777" w:rsidR="00464CB1" w:rsidRPr="001019D8" w:rsidRDefault="00464CB1" w:rsidP="009473C1">
      <w:pPr>
        <w:spacing w:after="0" w:line="240" w:lineRule="auto"/>
        <w:rPr>
          <w:rFonts w:ascii="Verdana" w:hAnsi="Verdana" w:cstheme="minorHAnsi"/>
          <w:b/>
        </w:rPr>
      </w:pPr>
    </w:p>
    <w:p w14:paraId="1721943F" w14:textId="77777777" w:rsidR="00464CB1" w:rsidRPr="001019D8" w:rsidRDefault="00464CB1" w:rsidP="009473C1">
      <w:pPr>
        <w:spacing w:after="0" w:line="240" w:lineRule="auto"/>
        <w:rPr>
          <w:rFonts w:ascii="Verdana" w:hAnsi="Verdana" w:cstheme="minorHAnsi"/>
          <w:b/>
        </w:rPr>
      </w:pPr>
    </w:p>
    <w:p w14:paraId="7E40F47F" w14:textId="77777777" w:rsidR="00464CB1" w:rsidRPr="001019D8" w:rsidRDefault="00464CB1" w:rsidP="009473C1">
      <w:pPr>
        <w:spacing w:after="0" w:line="240" w:lineRule="auto"/>
        <w:rPr>
          <w:rFonts w:ascii="Verdana" w:hAnsi="Verdana" w:cstheme="minorHAnsi"/>
          <w:b/>
        </w:rPr>
      </w:pPr>
    </w:p>
    <w:p w14:paraId="1CF0B482" w14:textId="77777777" w:rsidR="00464CB1" w:rsidRPr="001019D8" w:rsidRDefault="00464CB1" w:rsidP="009473C1">
      <w:pPr>
        <w:spacing w:after="0" w:line="240" w:lineRule="auto"/>
        <w:rPr>
          <w:rFonts w:ascii="Verdana" w:hAnsi="Verdana" w:cstheme="minorHAnsi"/>
          <w:b/>
        </w:rPr>
      </w:pPr>
    </w:p>
    <w:p w14:paraId="5949A92E" w14:textId="77777777" w:rsidR="00464CB1" w:rsidRDefault="00464CB1" w:rsidP="009473C1">
      <w:pPr>
        <w:spacing w:after="0" w:line="240" w:lineRule="auto"/>
        <w:rPr>
          <w:rFonts w:cstheme="minorHAnsi"/>
          <w:b/>
        </w:rPr>
      </w:pPr>
    </w:p>
    <w:p w14:paraId="79EC2E43" w14:textId="77777777" w:rsidR="00464CB1" w:rsidRDefault="00464CB1" w:rsidP="009473C1">
      <w:pPr>
        <w:spacing w:after="0" w:line="240" w:lineRule="auto"/>
        <w:rPr>
          <w:rFonts w:cstheme="minorHAnsi"/>
          <w:b/>
        </w:rPr>
      </w:pPr>
    </w:p>
    <w:p w14:paraId="74B7B766" w14:textId="77777777" w:rsidR="00464CB1" w:rsidRDefault="00464CB1" w:rsidP="009473C1">
      <w:pPr>
        <w:spacing w:after="0" w:line="240" w:lineRule="auto"/>
        <w:rPr>
          <w:rFonts w:cstheme="minorHAnsi"/>
          <w:b/>
        </w:rPr>
      </w:pPr>
    </w:p>
    <w:p w14:paraId="4703B605" w14:textId="77777777" w:rsidR="00464CB1" w:rsidRDefault="00464CB1" w:rsidP="009473C1">
      <w:pPr>
        <w:spacing w:after="0" w:line="240" w:lineRule="auto"/>
        <w:rPr>
          <w:rFonts w:cstheme="minorHAnsi"/>
          <w:b/>
        </w:rPr>
      </w:pPr>
    </w:p>
    <w:p w14:paraId="746AC24B" w14:textId="77777777" w:rsidR="00464CB1" w:rsidRDefault="00464CB1" w:rsidP="009473C1">
      <w:pPr>
        <w:spacing w:after="0" w:line="240" w:lineRule="auto"/>
        <w:rPr>
          <w:rFonts w:cstheme="minorHAnsi"/>
          <w:b/>
        </w:rPr>
      </w:pPr>
    </w:p>
    <w:p w14:paraId="3EACA757" w14:textId="77777777" w:rsidR="00464CB1" w:rsidRDefault="00464CB1" w:rsidP="009473C1">
      <w:pPr>
        <w:spacing w:after="0" w:line="240" w:lineRule="auto"/>
        <w:rPr>
          <w:rFonts w:cstheme="minorHAnsi"/>
          <w:b/>
        </w:rPr>
      </w:pPr>
    </w:p>
    <w:p w14:paraId="009C8442" w14:textId="77777777" w:rsidR="00464CB1" w:rsidRDefault="00464CB1" w:rsidP="009473C1">
      <w:pPr>
        <w:spacing w:after="0" w:line="240" w:lineRule="auto"/>
        <w:rPr>
          <w:rFonts w:cstheme="minorHAnsi"/>
          <w:b/>
        </w:rPr>
      </w:pPr>
    </w:p>
    <w:p w14:paraId="0F8A8EAD" w14:textId="77777777" w:rsidR="00464CB1" w:rsidRDefault="00464CB1" w:rsidP="009473C1">
      <w:pPr>
        <w:spacing w:after="0" w:line="240" w:lineRule="auto"/>
        <w:rPr>
          <w:rFonts w:cstheme="minorHAnsi"/>
          <w:b/>
        </w:rPr>
      </w:pPr>
    </w:p>
    <w:p w14:paraId="51904D40" w14:textId="77777777" w:rsidR="00464CB1" w:rsidRDefault="00464CB1" w:rsidP="009473C1">
      <w:pPr>
        <w:spacing w:after="0" w:line="240" w:lineRule="auto"/>
        <w:rPr>
          <w:rFonts w:cstheme="minorHAnsi"/>
          <w:b/>
        </w:rPr>
      </w:pPr>
    </w:p>
    <w:p w14:paraId="27F083C1" w14:textId="72926A2E" w:rsidR="00464CB1" w:rsidRDefault="00464CB1" w:rsidP="009473C1">
      <w:pPr>
        <w:spacing w:after="0" w:line="240" w:lineRule="auto"/>
        <w:rPr>
          <w:rFonts w:cstheme="minorHAnsi"/>
          <w:b/>
        </w:rPr>
      </w:pPr>
    </w:p>
    <w:p w14:paraId="76006244" w14:textId="2C69F66E" w:rsidR="001019D8" w:rsidRDefault="001019D8" w:rsidP="009473C1">
      <w:pPr>
        <w:spacing w:after="0" w:line="240" w:lineRule="auto"/>
        <w:rPr>
          <w:rFonts w:cstheme="minorHAnsi"/>
          <w:b/>
        </w:rPr>
      </w:pPr>
    </w:p>
    <w:p w14:paraId="781FB333" w14:textId="7B948A50" w:rsidR="001019D8" w:rsidRDefault="001019D8" w:rsidP="009473C1">
      <w:pPr>
        <w:spacing w:after="0" w:line="240" w:lineRule="auto"/>
        <w:rPr>
          <w:rFonts w:cstheme="minorHAnsi"/>
          <w:b/>
        </w:rPr>
      </w:pPr>
    </w:p>
    <w:p w14:paraId="0C8B1A79" w14:textId="1668D430" w:rsidR="001019D8" w:rsidRDefault="001019D8" w:rsidP="009473C1">
      <w:pPr>
        <w:spacing w:after="0" w:line="240" w:lineRule="auto"/>
        <w:rPr>
          <w:rFonts w:cstheme="minorHAnsi"/>
          <w:b/>
        </w:rPr>
      </w:pPr>
    </w:p>
    <w:p w14:paraId="4EA0F8CC" w14:textId="5A2D63B2" w:rsidR="001019D8" w:rsidRDefault="001019D8" w:rsidP="009473C1">
      <w:pPr>
        <w:spacing w:after="0" w:line="240" w:lineRule="auto"/>
        <w:rPr>
          <w:rFonts w:cstheme="minorHAnsi"/>
          <w:b/>
        </w:rPr>
      </w:pPr>
    </w:p>
    <w:p w14:paraId="1A567BDB" w14:textId="570908F0" w:rsidR="001019D8" w:rsidRDefault="001019D8" w:rsidP="009473C1">
      <w:pPr>
        <w:spacing w:after="0" w:line="240" w:lineRule="auto"/>
        <w:rPr>
          <w:rFonts w:cstheme="minorHAnsi"/>
          <w:b/>
        </w:rPr>
      </w:pPr>
    </w:p>
    <w:p w14:paraId="10A8C5B1" w14:textId="3621E238" w:rsidR="001019D8" w:rsidRDefault="001019D8" w:rsidP="009473C1">
      <w:pPr>
        <w:spacing w:after="0" w:line="240" w:lineRule="auto"/>
        <w:rPr>
          <w:rFonts w:cstheme="minorHAnsi"/>
          <w:b/>
        </w:rPr>
      </w:pPr>
    </w:p>
    <w:p w14:paraId="50FB49B2" w14:textId="77777777" w:rsidR="00B871FD" w:rsidRDefault="0096609A" w:rsidP="00CB47F2">
      <w:pPr>
        <w:pStyle w:val="Ttulo1"/>
        <w:numPr>
          <w:ilvl w:val="0"/>
          <w:numId w:val="8"/>
        </w:numPr>
        <w:jc w:val="both"/>
        <w:rPr>
          <w:b/>
        </w:rPr>
      </w:pPr>
      <w:bookmarkStart w:id="4" w:name="_Toc487613138"/>
      <w:bookmarkStart w:id="5" w:name="_Toc30512077"/>
      <w:r>
        <w:rPr>
          <w:b/>
        </w:rPr>
        <w:lastRenderedPageBreak/>
        <w:t xml:space="preserve">Resultado </w:t>
      </w:r>
      <w:r w:rsidR="00C30B4F" w:rsidRPr="00CB47F2">
        <w:rPr>
          <w:b/>
        </w:rPr>
        <w:t>Plan Institucional</w:t>
      </w:r>
      <w:r w:rsidR="00026DBF" w:rsidRPr="00CB47F2">
        <w:rPr>
          <w:b/>
        </w:rPr>
        <w:t xml:space="preserve"> 201</w:t>
      </w:r>
      <w:r w:rsidR="006568AC">
        <w:rPr>
          <w:b/>
        </w:rPr>
        <w:t>9</w:t>
      </w:r>
      <w:r w:rsidR="006951C8" w:rsidRPr="00CB47F2">
        <w:rPr>
          <w:b/>
        </w:rPr>
        <w:t>,</w:t>
      </w:r>
      <w:r w:rsidR="00C30B4F" w:rsidRPr="00CB47F2">
        <w:rPr>
          <w:b/>
        </w:rPr>
        <w:t xml:space="preserve"> según l</w:t>
      </w:r>
      <w:r w:rsidR="00185BE9" w:rsidRPr="00CB47F2">
        <w:rPr>
          <w:b/>
        </w:rPr>
        <w:t>íneas</w:t>
      </w:r>
      <w:r w:rsidR="00C30B4F" w:rsidRPr="00CB47F2">
        <w:rPr>
          <w:b/>
        </w:rPr>
        <w:t xml:space="preserve"> de acción</w:t>
      </w:r>
      <w:bookmarkEnd w:id="4"/>
      <w:bookmarkEnd w:id="5"/>
    </w:p>
    <w:p w14:paraId="53470F8C" w14:textId="77777777" w:rsidR="00697686" w:rsidRPr="00697686" w:rsidRDefault="00697686" w:rsidP="00697686"/>
    <w:p w14:paraId="682C5E8D" w14:textId="77777777" w:rsidR="00D17E22" w:rsidRDefault="00464CB1" w:rsidP="0004477D">
      <w:pPr>
        <w:pStyle w:val="Ttulo2"/>
        <w:numPr>
          <w:ilvl w:val="1"/>
          <w:numId w:val="8"/>
        </w:numPr>
        <w:spacing w:before="0"/>
        <w:ind w:hanging="1014"/>
        <w:jc w:val="both"/>
      </w:pPr>
      <w:bookmarkStart w:id="6" w:name="_Toc487613111"/>
      <w:bookmarkStart w:id="7" w:name="_Toc487613122"/>
      <w:bookmarkStart w:id="8" w:name="_Toc487613139"/>
      <w:bookmarkStart w:id="9" w:name="_Toc487613156"/>
      <w:bookmarkStart w:id="10" w:name="_Toc487613180"/>
      <w:bookmarkStart w:id="11" w:name="_Toc487613288"/>
      <w:bookmarkStart w:id="12" w:name="_Toc487613112"/>
      <w:bookmarkStart w:id="13" w:name="_Toc487613123"/>
      <w:bookmarkStart w:id="14" w:name="_Toc487613140"/>
      <w:bookmarkStart w:id="15" w:name="_Toc487613157"/>
      <w:bookmarkStart w:id="16" w:name="_Toc487613181"/>
      <w:bookmarkStart w:id="17" w:name="_Toc487613289"/>
      <w:bookmarkStart w:id="18" w:name="_Toc487613113"/>
      <w:bookmarkStart w:id="19" w:name="_Toc487613124"/>
      <w:bookmarkStart w:id="20" w:name="_Toc487613141"/>
      <w:bookmarkStart w:id="21" w:name="_Toc487613158"/>
      <w:bookmarkStart w:id="22" w:name="_Toc487613182"/>
      <w:bookmarkStart w:id="23" w:name="_Toc487613290"/>
      <w:bookmarkStart w:id="24" w:name="_Toc30512078"/>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0823C7">
        <w:rPr>
          <w:rFonts w:ascii="Calibri" w:eastAsia="Times New Roman" w:hAnsi="Calibri" w:cs="Calibri"/>
          <w:lang w:eastAsia="es-CL"/>
        </w:rPr>
        <w:t xml:space="preserve">Fortalecimiento de la protección del patrimonio </w:t>
      </w:r>
      <w:proofErr w:type="spellStart"/>
      <w:r w:rsidRPr="000823C7">
        <w:rPr>
          <w:rFonts w:ascii="Calibri" w:eastAsia="Times New Roman" w:hAnsi="Calibri" w:cs="Calibri"/>
          <w:lang w:eastAsia="es-CL"/>
        </w:rPr>
        <w:t>fito</w:t>
      </w:r>
      <w:proofErr w:type="spellEnd"/>
      <w:r w:rsidRPr="000823C7">
        <w:rPr>
          <w:rFonts w:ascii="Calibri" w:eastAsia="Times New Roman" w:hAnsi="Calibri" w:cs="Calibri"/>
          <w:lang w:eastAsia="es-CL"/>
        </w:rPr>
        <w:t xml:space="preserve"> y zoosanitario, y recursos naturales renovables.</w:t>
      </w:r>
      <w:bookmarkEnd w:id="24"/>
    </w:p>
    <w:p w14:paraId="09342842" w14:textId="77777777" w:rsidR="00697686" w:rsidRPr="00697686" w:rsidRDefault="00697686" w:rsidP="00697686"/>
    <w:tbl>
      <w:tblPr>
        <w:tblStyle w:val="Tabladecuadrcula4-nfasis11"/>
        <w:tblW w:w="5000" w:type="pct"/>
        <w:tblLook w:val="04A0" w:firstRow="1" w:lastRow="0" w:firstColumn="1" w:lastColumn="0" w:noHBand="0" w:noVBand="1"/>
      </w:tblPr>
      <w:tblGrid>
        <w:gridCol w:w="4958"/>
        <w:gridCol w:w="1418"/>
        <w:gridCol w:w="2452"/>
      </w:tblGrid>
      <w:tr w:rsidR="00AF79F5" w14:paraId="7AD47460" w14:textId="77777777" w:rsidTr="004711B9">
        <w:trPr>
          <w:cnfStyle w:val="100000000000" w:firstRow="1" w:lastRow="0" w:firstColumn="0" w:lastColumn="0" w:oddVBand="0" w:evenVBand="0" w:oddHBand="0" w:evenHBand="0" w:firstRowFirstColumn="0" w:firstRowLastColumn="0" w:lastRowFirstColumn="0" w:lastRowLastColumn="0"/>
          <w:trHeight w:val="109"/>
        </w:trPr>
        <w:tc>
          <w:tcPr>
            <w:cnfStyle w:val="001000000000" w:firstRow="0" w:lastRow="0" w:firstColumn="1" w:lastColumn="0" w:oddVBand="0" w:evenVBand="0" w:oddHBand="0" w:evenHBand="0" w:firstRowFirstColumn="0" w:firstRowLastColumn="0" w:lastRowFirstColumn="0" w:lastRowLastColumn="0"/>
            <w:tcW w:w="2808" w:type="pct"/>
          </w:tcPr>
          <w:p w14:paraId="30F92812" w14:textId="77777777" w:rsidR="00AF79F5" w:rsidRPr="00D72D50" w:rsidRDefault="00AF79F5" w:rsidP="00AF79F5">
            <w:pPr>
              <w:jc w:val="center"/>
              <w:rPr>
                <w:rFonts w:ascii="Verdana" w:hAnsi="Verdana"/>
                <w:sz w:val="18"/>
                <w:szCs w:val="18"/>
              </w:rPr>
            </w:pPr>
            <w:r w:rsidRPr="00D72D50">
              <w:rPr>
                <w:rFonts w:ascii="Verdana" w:hAnsi="Verdana"/>
                <w:sz w:val="18"/>
                <w:szCs w:val="18"/>
              </w:rPr>
              <w:t>Objetivo Estratégico</w:t>
            </w:r>
          </w:p>
        </w:tc>
        <w:tc>
          <w:tcPr>
            <w:tcW w:w="2192" w:type="pct"/>
            <w:gridSpan w:val="2"/>
          </w:tcPr>
          <w:p w14:paraId="618307F0" w14:textId="77777777" w:rsidR="00AF79F5" w:rsidRPr="00D72D50" w:rsidRDefault="00EC7D28" w:rsidP="000C72C8">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Objetivo Específico 2019</w:t>
            </w:r>
            <w:r w:rsidR="00EF594C">
              <w:rPr>
                <w:rFonts w:ascii="Verdana" w:hAnsi="Verdana"/>
                <w:sz w:val="18"/>
                <w:szCs w:val="18"/>
              </w:rPr>
              <w:t xml:space="preserve"> (Táctico)</w:t>
            </w:r>
          </w:p>
        </w:tc>
      </w:tr>
      <w:tr w:rsidR="00AF79F5" w14:paraId="01E23183" w14:textId="77777777" w:rsidTr="004711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pct"/>
          </w:tcPr>
          <w:p w14:paraId="4381802F" w14:textId="77777777" w:rsidR="00AF79F5" w:rsidRPr="001019D8" w:rsidRDefault="00893C60" w:rsidP="00997826">
            <w:pPr>
              <w:jc w:val="both"/>
              <w:rPr>
                <w:rFonts w:ascii="Verdana" w:hAnsi="Verdana"/>
                <w:sz w:val="18"/>
                <w:szCs w:val="18"/>
              </w:rPr>
            </w:pPr>
            <w:r w:rsidRPr="001019D8">
              <w:rPr>
                <w:rFonts w:ascii="Verdana" w:hAnsi="Verdana" w:cstheme="minorHAnsi"/>
                <w:sz w:val="20"/>
                <w:szCs w:val="20"/>
              </w:rPr>
              <w:t>Conservar y proteger los recursos naturales renovables de competencia del SAG, conforme a las normas vigentes.</w:t>
            </w:r>
          </w:p>
        </w:tc>
        <w:tc>
          <w:tcPr>
            <w:tcW w:w="2192" w:type="pct"/>
            <w:gridSpan w:val="2"/>
          </w:tcPr>
          <w:p w14:paraId="5A1F67E9" w14:textId="77777777" w:rsidR="00AF79F5" w:rsidRPr="001019D8" w:rsidRDefault="00893C60" w:rsidP="00D17E22">
            <w:pPr>
              <w:jc w:val="both"/>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1019D8">
              <w:rPr>
                <w:rFonts w:ascii="Verdana" w:hAnsi="Verdana" w:cstheme="minorHAnsi"/>
                <w:sz w:val="20"/>
                <w:szCs w:val="20"/>
              </w:rPr>
              <w:t>Recuperar el potencial productivo de los suelos agropecuarios degradados y mantener los niveles de mejoramiento alcanzados.</w:t>
            </w:r>
          </w:p>
        </w:tc>
      </w:tr>
      <w:tr w:rsidR="00AF79F5" w14:paraId="2F012632" w14:textId="77777777" w:rsidTr="004711B9">
        <w:tc>
          <w:tcPr>
            <w:cnfStyle w:val="001000000000" w:firstRow="0" w:lastRow="0" w:firstColumn="1" w:lastColumn="0" w:oddVBand="0" w:evenVBand="0" w:oddHBand="0" w:evenHBand="0" w:firstRowFirstColumn="0" w:firstRowLastColumn="0" w:lastRowFirstColumn="0" w:lastRowLastColumn="0"/>
            <w:tcW w:w="2808" w:type="pct"/>
            <w:shd w:val="clear" w:color="auto" w:fill="5B9BD5" w:themeFill="accent1"/>
          </w:tcPr>
          <w:p w14:paraId="5D92163A" w14:textId="77777777" w:rsidR="00AF79F5" w:rsidRPr="001019D8" w:rsidRDefault="00AF79F5" w:rsidP="00D17E22">
            <w:pPr>
              <w:jc w:val="both"/>
              <w:rPr>
                <w:rFonts w:ascii="Verdana" w:hAnsi="Verdana"/>
                <w:color w:val="FFFFFF" w:themeColor="background1"/>
                <w:sz w:val="18"/>
                <w:szCs w:val="18"/>
              </w:rPr>
            </w:pPr>
            <w:r w:rsidRPr="001019D8">
              <w:rPr>
                <w:rFonts w:ascii="Verdana" w:hAnsi="Verdana"/>
                <w:color w:val="FFFFFF" w:themeColor="background1"/>
                <w:sz w:val="18"/>
                <w:szCs w:val="18"/>
              </w:rPr>
              <w:t>Indicador</w:t>
            </w:r>
          </w:p>
        </w:tc>
        <w:tc>
          <w:tcPr>
            <w:tcW w:w="803" w:type="pct"/>
            <w:shd w:val="clear" w:color="auto" w:fill="5B9BD5" w:themeFill="accent1"/>
          </w:tcPr>
          <w:p w14:paraId="486B8C49" w14:textId="77777777" w:rsidR="00AF79F5" w:rsidRPr="001019D8" w:rsidRDefault="00AF79F5" w:rsidP="00893C60">
            <w:pPr>
              <w:jc w:val="center"/>
              <w:cnfStyle w:val="000000000000" w:firstRow="0" w:lastRow="0" w:firstColumn="0" w:lastColumn="0" w:oddVBand="0" w:evenVBand="0" w:oddHBand="0" w:evenHBand="0" w:firstRowFirstColumn="0" w:firstRowLastColumn="0" w:lastRowFirstColumn="0" w:lastRowLastColumn="0"/>
              <w:rPr>
                <w:rFonts w:ascii="Verdana" w:hAnsi="Verdana"/>
                <w:b/>
                <w:color w:val="FFFFFF" w:themeColor="background1"/>
                <w:sz w:val="18"/>
                <w:szCs w:val="18"/>
              </w:rPr>
            </w:pPr>
            <w:r w:rsidRPr="001019D8">
              <w:rPr>
                <w:rFonts w:ascii="Verdana" w:hAnsi="Verdana"/>
                <w:b/>
                <w:color w:val="FFFFFF" w:themeColor="background1"/>
                <w:sz w:val="18"/>
                <w:szCs w:val="18"/>
              </w:rPr>
              <w:t>Meta 201</w:t>
            </w:r>
            <w:r w:rsidR="00893C60" w:rsidRPr="001019D8">
              <w:rPr>
                <w:rFonts w:ascii="Verdana" w:hAnsi="Verdana"/>
                <w:b/>
                <w:color w:val="FFFFFF" w:themeColor="background1"/>
                <w:sz w:val="18"/>
                <w:szCs w:val="18"/>
              </w:rPr>
              <w:t>9</w:t>
            </w:r>
          </w:p>
        </w:tc>
        <w:tc>
          <w:tcPr>
            <w:tcW w:w="1389" w:type="pct"/>
            <w:shd w:val="clear" w:color="auto" w:fill="5B9BD5" w:themeFill="accent1"/>
          </w:tcPr>
          <w:p w14:paraId="60F1957F" w14:textId="77777777" w:rsidR="00AF79F5" w:rsidRPr="001019D8" w:rsidRDefault="0096609A" w:rsidP="00893C60">
            <w:pPr>
              <w:jc w:val="center"/>
              <w:cnfStyle w:val="000000000000" w:firstRow="0" w:lastRow="0" w:firstColumn="0" w:lastColumn="0" w:oddVBand="0" w:evenVBand="0" w:oddHBand="0" w:evenHBand="0" w:firstRowFirstColumn="0" w:firstRowLastColumn="0" w:lastRowFirstColumn="0" w:lastRowLastColumn="0"/>
              <w:rPr>
                <w:rFonts w:ascii="Verdana" w:hAnsi="Verdana"/>
                <w:b/>
                <w:color w:val="FFFFFF" w:themeColor="background1"/>
                <w:sz w:val="18"/>
                <w:szCs w:val="18"/>
              </w:rPr>
            </w:pPr>
            <w:r w:rsidRPr="001019D8">
              <w:rPr>
                <w:rFonts w:ascii="Verdana" w:hAnsi="Verdana"/>
                <w:b/>
                <w:color w:val="FFFFFF" w:themeColor="background1"/>
                <w:sz w:val="18"/>
                <w:szCs w:val="18"/>
              </w:rPr>
              <w:t>Resultado al 31.12.19</w:t>
            </w:r>
          </w:p>
        </w:tc>
      </w:tr>
      <w:tr w:rsidR="00AF79F5" w14:paraId="0B26247B" w14:textId="77777777" w:rsidTr="004711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pct"/>
          </w:tcPr>
          <w:p w14:paraId="5A2305B5" w14:textId="77777777" w:rsidR="00AF79F5" w:rsidRPr="001019D8" w:rsidRDefault="00893C60" w:rsidP="00D17E22">
            <w:pPr>
              <w:jc w:val="both"/>
              <w:rPr>
                <w:rFonts w:ascii="Verdana" w:hAnsi="Verdana"/>
                <w:sz w:val="18"/>
                <w:szCs w:val="18"/>
              </w:rPr>
            </w:pPr>
            <w:r w:rsidRPr="001019D8">
              <w:rPr>
                <w:rFonts w:ascii="Verdana" w:hAnsi="Verdana" w:cstheme="minorHAnsi"/>
                <w:sz w:val="20"/>
                <w:szCs w:val="20"/>
              </w:rPr>
              <w:t>Porcentaje de superficie bonificada con una o más prácticas del Sistema de Incentivos para la Sustentabilidad Agroambiental de los Suelos Agropecuarios en el año t respecto a la superficie estimada a bonificar en el año t.</w:t>
            </w:r>
          </w:p>
        </w:tc>
        <w:tc>
          <w:tcPr>
            <w:tcW w:w="803" w:type="pct"/>
            <w:vAlign w:val="center"/>
          </w:tcPr>
          <w:p w14:paraId="0C9EDDC7" w14:textId="77777777" w:rsidR="00AF79F5" w:rsidRPr="001019D8" w:rsidRDefault="00BF24C8" w:rsidP="00EF594C">
            <w:pPr>
              <w:jc w:val="cente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1019D8">
              <w:rPr>
                <w:rFonts w:ascii="Verdana" w:hAnsi="Verdana"/>
                <w:sz w:val="24"/>
                <w:szCs w:val="24"/>
              </w:rPr>
              <w:t>100%</w:t>
            </w:r>
          </w:p>
        </w:tc>
        <w:tc>
          <w:tcPr>
            <w:tcW w:w="1389" w:type="pct"/>
            <w:vAlign w:val="center"/>
          </w:tcPr>
          <w:p w14:paraId="45AED9C8" w14:textId="77777777" w:rsidR="00AF79F5" w:rsidRPr="001019D8" w:rsidRDefault="00A86532" w:rsidP="00EF594C">
            <w:pPr>
              <w:jc w:val="cente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1019D8">
              <w:rPr>
                <w:rFonts w:ascii="Verdana" w:hAnsi="Verdana"/>
                <w:sz w:val="24"/>
                <w:szCs w:val="24"/>
              </w:rPr>
              <w:t>107</w:t>
            </w:r>
            <w:r w:rsidR="0081503C" w:rsidRPr="001019D8">
              <w:rPr>
                <w:rFonts w:ascii="Verdana" w:hAnsi="Verdana"/>
                <w:sz w:val="24"/>
                <w:szCs w:val="24"/>
              </w:rPr>
              <w:t>,</w:t>
            </w:r>
            <w:r w:rsidR="00A1528D" w:rsidRPr="001019D8">
              <w:rPr>
                <w:rFonts w:ascii="Verdana" w:hAnsi="Verdana"/>
                <w:sz w:val="24"/>
                <w:szCs w:val="24"/>
              </w:rPr>
              <w:t>5</w:t>
            </w:r>
            <w:r w:rsidR="00026DBF" w:rsidRPr="001019D8">
              <w:rPr>
                <w:rFonts w:ascii="Verdana" w:hAnsi="Verdana"/>
                <w:sz w:val="24"/>
                <w:szCs w:val="24"/>
              </w:rPr>
              <w:t>%</w:t>
            </w:r>
          </w:p>
          <w:p w14:paraId="5FE5BA3A" w14:textId="77777777" w:rsidR="00667A72" w:rsidRPr="001019D8" w:rsidRDefault="00667A72" w:rsidP="00185945">
            <w:pPr>
              <w:jc w:val="cente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1019D8">
              <w:rPr>
                <w:rFonts w:ascii="Verdana" w:hAnsi="Verdana"/>
                <w:sz w:val="24"/>
                <w:szCs w:val="24"/>
              </w:rPr>
              <w:t>(</w:t>
            </w:r>
            <w:r w:rsidR="00A86532" w:rsidRPr="001019D8">
              <w:rPr>
                <w:rFonts w:ascii="Verdana" w:hAnsi="Verdana"/>
                <w:sz w:val="24"/>
                <w:szCs w:val="24"/>
              </w:rPr>
              <w:t>63</w:t>
            </w:r>
            <w:r w:rsidR="002F1919" w:rsidRPr="001019D8">
              <w:rPr>
                <w:rFonts w:ascii="Verdana" w:hAnsi="Verdana"/>
                <w:sz w:val="24"/>
                <w:szCs w:val="24"/>
              </w:rPr>
              <w:t>.231</w:t>
            </w:r>
            <w:r w:rsidRPr="001019D8">
              <w:rPr>
                <w:rFonts w:ascii="Verdana" w:hAnsi="Verdana"/>
                <w:sz w:val="24"/>
                <w:szCs w:val="24"/>
              </w:rPr>
              <w:t>/</w:t>
            </w:r>
            <w:r w:rsidR="0081503C" w:rsidRPr="001019D8">
              <w:rPr>
                <w:rFonts w:ascii="Verdana" w:hAnsi="Verdana"/>
                <w:sz w:val="24"/>
                <w:szCs w:val="24"/>
              </w:rPr>
              <w:t>5</w:t>
            </w:r>
            <w:r w:rsidR="00185945" w:rsidRPr="001019D8">
              <w:rPr>
                <w:rFonts w:ascii="Verdana" w:hAnsi="Verdana"/>
                <w:sz w:val="24"/>
                <w:szCs w:val="24"/>
              </w:rPr>
              <w:t>8</w:t>
            </w:r>
            <w:r w:rsidR="0081503C" w:rsidRPr="001019D8">
              <w:rPr>
                <w:rFonts w:ascii="Verdana" w:hAnsi="Verdana"/>
                <w:sz w:val="24"/>
                <w:szCs w:val="24"/>
              </w:rPr>
              <w:t>.</w:t>
            </w:r>
            <w:r w:rsidR="00185945" w:rsidRPr="001019D8">
              <w:rPr>
                <w:rFonts w:ascii="Verdana" w:hAnsi="Verdana"/>
                <w:sz w:val="24"/>
                <w:szCs w:val="24"/>
              </w:rPr>
              <w:t>828</w:t>
            </w:r>
            <w:r w:rsidRPr="001019D8">
              <w:rPr>
                <w:rFonts w:ascii="Verdana" w:hAnsi="Verdana"/>
                <w:sz w:val="24"/>
                <w:szCs w:val="24"/>
              </w:rPr>
              <w:t>)</w:t>
            </w:r>
          </w:p>
        </w:tc>
      </w:tr>
      <w:tr w:rsidR="00AF79F5" w14:paraId="142CA033" w14:textId="77777777" w:rsidTr="0081503C">
        <w:trPr>
          <w:trHeight w:val="2812"/>
        </w:trPr>
        <w:tc>
          <w:tcPr>
            <w:cnfStyle w:val="001000000000" w:firstRow="0" w:lastRow="0" w:firstColumn="1" w:lastColumn="0" w:oddVBand="0" w:evenVBand="0" w:oddHBand="0" w:evenHBand="0" w:firstRowFirstColumn="0" w:firstRowLastColumn="0" w:lastRowFirstColumn="0" w:lastRowLastColumn="0"/>
            <w:tcW w:w="5000" w:type="pct"/>
            <w:gridSpan w:val="3"/>
          </w:tcPr>
          <w:p w14:paraId="51523B41" w14:textId="77777777" w:rsidR="0081503C" w:rsidRDefault="0096609A" w:rsidP="00697686">
            <w:pPr>
              <w:spacing w:before="120"/>
              <w:jc w:val="both"/>
              <w:rPr>
                <w:rFonts w:ascii="Verdana" w:hAnsi="Verdana"/>
                <w:sz w:val="18"/>
                <w:szCs w:val="18"/>
              </w:rPr>
            </w:pPr>
            <w:r>
              <w:rPr>
                <w:rFonts w:ascii="Verdana" w:hAnsi="Verdana"/>
                <w:sz w:val="18"/>
                <w:szCs w:val="18"/>
              </w:rPr>
              <w:t>Descripción del Resultado:</w:t>
            </w:r>
          </w:p>
          <w:p w14:paraId="5AB80BC5" w14:textId="77777777" w:rsidR="00DF3550" w:rsidRPr="006E1A0F" w:rsidRDefault="00B86A3A" w:rsidP="00DF3550">
            <w:pPr>
              <w:jc w:val="both"/>
              <w:rPr>
                <w:rFonts w:ascii="Verdana" w:hAnsi="Verdana"/>
                <w:b w:val="0"/>
                <w:sz w:val="18"/>
                <w:szCs w:val="18"/>
              </w:rPr>
            </w:pPr>
            <w:r>
              <w:rPr>
                <w:rFonts w:ascii="Verdana" w:hAnsi="Verdana"/>
                <w:b w:val="0"/>
                <w:sz w:val="18"/>
                <w:szCs w:val="18"/>
              </w:rPr>
              <w:t>En 2019 se logró bonificar una superficie de 63.231 hectáreas (</w:t>
            </w:r>
            <w:r w:rsidRPr="00861126">
              <w:rPr>
                <w:rFonts w:ascii="Verdana" w:hAnsi="Verdana"/>
                <w:b w:val="0"/>
                <w:sz w:val="18"/>
                <w:szCs w:val="18"/>
              </w:rPr>
              <w:t>4.403 hectáreas por sobre lo proyectado</w:t>
            </w:r>
            <w:r>
              <w:rPr>
                <w:rFonts w:ascii="Verdana" w:hAnsi="Verdana"/>
                <w:b w:val="0"/>
                <w:sz w:val="18"/>
                <w:szCs w:val="18"/>
              </w:rPr>
              <w:t>), que implica un cumplimiento de un 107,</w:t>
            </w:r>
            <w:r w:rsidR="00A1528D">
              <w:rPr>
                <w:rFonts w:ascii="Verdana" w:hAnsi="Verdana"/>
                <w:b w:val="0"/>
                <w:sz w:val="18"/>
                <w:szCs w:val="18"/>
              </w:rPr>
              <w:t>5</w:t>
            </w:r>
            <w:r>
              <w:rPr>
                <w:rFonts w:ascii="Verdana" w:hAnsi="Verdana"/>
                <w:b w:val="0"/>
                <w:sz w:val="18"/>
                <w:szCs w:val="18"/>
              </w:rPr>
              <w:t xml:space="preserve">% </w:t>
            </w:r>
            <w:r w:rsidR="00A86532" w:rsidRPr="00861126">
              <w:rPr>
                <w:rFonts w:ascii="Verdana" w:hAnsi="Verdana"/>
                <w:b w:val="0"/>
                <w:sz w:val="18"/>
                <w:szCs w:val="18"/>
              </w:rPr>
              <w:t>por sobre la superficie comprometida</w:t>
            </w:r>
            <w:r>
              <w:rPr>
                <w:rFonts w:ascii="Verdana" w:hAnsi="Verdana"/>
                <w:b w:val="0"/>
                <w:sz w:val="18"/>
                <w:szCs w:val="18"/>
              </w:rPr>
              <w:t xml:space="preserve"> de 58.828 hectáreas.</w:t>
            </w:r>
            <w:r w:rsidR="00DF3550" w:rsidRPr="00DF3550">
              <w:rPr>
                <w:rFonts w:ascii="Verdana" w:hAnsi="Verdana"/>
                <w:b w:val="0"/>
                <w:color w:val="FF0000"/>
                <w:sz w:val="18"/>
                <w:szCs w:val="18"/>
              </w:rPr>
              <w:t xml:space="preserve"> </w:t>
            </w:r>
            <w:r w:rsidR="00DF3550" w:rsidRPr="006E1A0F">
              <w:rPr>
                <w:rFonts w:ascii="Verdana" w:hAnsi="Verdana"/>
                <w:b w:val="0"/>
                <w:sz w:val="18"/>
                <w:szCs w:val="18"/>
              </w:rPr>
              <w:t>Esto se debe principalmente a variaciones y ajustes en la ejecución 2019 no previstos al momento de proyectar la meta, tales como: mayor colocación y transferencia final de recursos respecto a lo proyectado, justificado en una disminución del monto transferido para emergencias y un menor costo promedio por hectárea al estimado en el supuesto de la meta comprometida. Otros factores que incidieron en menor medida se asocian a un aumento del aporte en cobertura respecto de algunas regiones, por ejemplo, la región de Coquimbo; aumentando la cobertura nacional de superficie.</w:t>
            </w:r>
          </w:p>
          <w:p w14:paraId="61A878A1" w14:textId="77777777" w:rsidR="00B86A3A" w:rsidRDefault="00B86A3A" w:rsidP="00861126">
            <w:pPr>
              <w:jc w:val="both"/>
              <w:rPr>
                <w:rFonts w:ascii="Verdana" w:hAnsi="Verdana"/>
                <w:b w:val="0"/>
                <w:sz w:val="18"/>
                <w:szCs w:val="18"/>
              </w:rPr>
            </w:pPr>
          </w:p>
          <w:p w14:paraId="7A45FA99" w14:textId="0C69CDCB" w:rsidR="00B86A3A" w:rsidRPr="00B86A3A" w:rsidRDefault="00B86A3A" w:rsidP="00B86A3A">
            <w:pPr>
              <w:jc w:val="both"/>
              <w:rPr>
                <w:rFonts w:ascii="Verdana" w:hAnsi="Verdana"/>
                <w:b w:val="0"/>
                <w:sz w:val="18"/>
                <w:szCs w:val="18"/>
              </w:rPr>
            </w:pPr>
            <w:r w:rsidRPr="00B86A3A">
              <w:rPr>
                <w:rFonts w:ascii="Verdana" w:hAnsi="Verdana"/>
                <w:b w:val="0"/>
                <w:sz w:val="18"/>
                <w:szCs w:val="18"/>
              </w:rPr>
              <w:t xml:space="preserve">En lo que respecta </w:t>
            </w:r>
            <w:r>
              <w:rPr>
                <w:rFonts w:ascii="Verdana" w:hAnsi="Verdana"/>
                <w:b w:val="0"/>
                <w:sz w:val="18"/>
                <w:szCs w:val="18"/>
              </w:rPr>
              <w:t xml:space="preserve">a la </w:t>
            </w:r>
            <w:r w:rsidR="00DF3550">
              <w:rPr>
                <w:rFonts w:ascii="Verdana" w:hAnsi="Verdana"/>
                <w:b w:val="0"/>
                <w:sz w:val="18"/>
                <w:szCs w:val="18"/>
              </w:rPr>
              <w:t xml:space="preserve">estimación de superficie a bonificar en </w:t>
            </w:r>
            <w:r w:rsidRPr="00B86A3A">
              <w:rPr>
                <w:rFonts w:ascii="Verdana" w:hAnsi="Verdana"/>
                <w:b w:val="0"/>
                <w:sz w:val="18"/>
                <w:szCs w:val="18"/>
              </w:rPr>
              <w:t xml:space="preserve">meta 2019 </w:t>
            </w:r>
            <w:r w:rsidR="00DF3550">
              <w:rPr>
                <w:rFonts w:ascii="Verdana" w:hAnsi="Verdana"/>
                <w:b w:val="0"/>
                <w:sz w:val="18"/>
                <w:szCs w:val="18"/>
              </w:rPr>
              <w:t xml:space="preserve">de 58.828 hectáreas </w:t>
            </w:r>
            <w:r w:rsidRPr="00B86A3A">
              <w:rPr>
                <w:rFonts w:ascii="Verdana" w:hAnsi="Verdana"/>
                <w:b w:val="0"/>
                <w:sz w:val="18"/>
                <w:szCs w:val="18"/>
              </w:rPr>
              <w:t xml:space="preserve">(realizado en septiembre de 2018), se utilizaron los antecedentes sobre la transferencia histórica y superficie bonificada anual (temporadas 2010 a 2017). Adicionalmente, los valores de transferencia fueron actualizados a pesos de diciembre 2017, según IPC. No se incluyeron los antecedentes de la temporada 2018 dado que a la fecha de la proyección de la meta comprometida </w:t>
            </w:r>
            <w:r w:rsidR="00B7516B">
              <w:rPr>
                <w:rFonts w:ascii="Verdana" w:hAnsi="Verdana"/>
                <w:b w:val="0"/>
                <w:sz w:val="18"/>
                <w:szCs w:val="18"/>
              </w:rPr>
              <w:t xml:space="preserve">para </w:t>
            </w:r>
            <w:r w:rsidRPr="00B86A3A">
              <w:rPr>
                <w:rFonts w:ascii="Verdana" w:hAnsi="Verdana"/>
                <w:b w:val="0"/>
                <w:sz w:val="18"/>
                <w:szCs w:val="18"/>
              </w:rPr>
              <w:t>2019</w:t>
            </w:r>
            <w:r w:rsidR="00B7516B">
              <w:rPr>
                <w:rFonts w:ascii="Verdana" w:hAnsi="Verdana"/>
                <w:b w:val="0"/>
                <w:sz w:val="18"/>
                <w:szCs w:val="18"/>
              </w:rPr>
              <w:t>,</w:t>
            </w:r>
            <w:r w:rsidRPr="00B86A3A">
              <w:rPr>
                <w:rFonts w:ascii="Verdana" w:hAnsi="Verdana"/>
                <w:b w:val="0"/>
                <w:sz w:val="18"/>
                <w:szCs w:val="18"/>
              </w:rPr>
              <w:t xml:space="preserve"> los concursos regionales se encontraban aún en ejecución.</w:t>
            </w:r>
            <w:r w:rsidR="00B7516B">
              <w:rPr>
                <w:rFonts w:ascii="Verdana" w:hAnsi="Verdana"/>
                <w:b w:val="0"/>
                <w:sz w:val="18"/>
                <w:szCs w:val="18"/>
              </w:rPr>
              <w:t xml:space="preserve"> </w:t>
            </w:r>
            <w:r w:rsidRPr="00B86A3A">
              <w:rPr>
                <w:rFonts w:ascii="Verdana" w:hAnsi="Verdana"/>
                <w:b w:val="0"/>
                <w:sz w:val="18"/>
                <w:szCs w:val="18"/>
              </w:rPr>
              <w:t>Considerando lo anterior, se proyectó la situación posible respecto de superficie y monto final a asignar. Esta proyección se estableció de acuerdo a algunos supuestos y factores que incidieron en el valor comprometido de la Meta.</w:t>
            </w:r>
          </w:p>
          <w:p w14:paraId="69ABACC0" w14:textId="77777777" w:rsidR="00B86A3A" w:rsidRPr="00B86A3A" w:rsidRDefault="00B86A3A" w:rsidP="00B86A3A">
            <w:pPr>
              <w:jc w:val="both"/>
              <w:rPr>
                <w:rFonts w:ascii="Verdana" w:hAnsi="Verdana"/>
                <w:b w:val="0"/>
                <w:sz w:val="18"/>
                <w:szCs w:val="18"/>
              </w:rPr>
            </w:pPr>
            <w:r w:rsidRPr="00B86A3A">
              <w:rPr>
                <w:rFonts w:ascii="Verdana" w:hAnsi="Verdana"/>
                <w:b w:val="0"/>
                <w:sz w:val="18"/>
                <w:szCs w:val="18"/>
              </w:rPr>
              <w:t xml:space="preserve"> </w:t>
            </w:r>
          </w:p>
          <w:p w14:paraId="7A0F349D" w14:textId="77777777" w:rsidR="00B86A3A" w:rsidRPr="00B86A3A" w:rsidRDefault="00B86A3A" w:rsidP="00B86A3A">
            <w:pPr>
              <w:jc w:val="both"/>
              <w:rPr>
                <w:rFonts w:ascii="Verdana" w:hAnsi="Verdana"/>
                <w:b w:val="0"/>
                <w:sz w:val="18"/>
                <w:szCs w:val="18"/>
              </w:rPr>
            </w:pPr>
            <w:r w:rsidRPr="00B86A3A">
              <w:rPr>
                <w:rFonts w:ascii="Verdana" w:hAnsi="Verdana"/>
                <w:b w:val="0"/>
                <w:sz w:val="18"/>
                <w:szCs w:val="18"/>
              </w:rPr>
              <w:t>Dicha meta comprometida y proyectada se sustenta en el cumplimiento de los siguientes supuestos: transferencia final de $7.669.400.000; un costo promedio por hectárea de $130.370; condiciones similares a lo acontecido entre las temporadas 2010 a 2017 respecto de demanda de prácticas por parte de los agricultores y una distribución presupuestaria por regiones proporcional a la inicial de la temporada 2018.</w:t>
            </w:r>
          </w:p>
          <w:p w14:paraId="34625655" w14:textId="77777777" w:rsidR="00B86A3A" w:rsidRPr="00B86A3A" w:rsidRDefault="00B86A3A" w:rsidP="00B86A3A">
            <w:pPr>
              <w:jc w:val="both"/>
              <w:rPr>
                <w:rFonts w:ascii="Verdana" w:hAnsi="Verdana"/>
                <w:b w:val="0"/>
                <w:sz w:val="18"/>
                <w:szCs w:val="18"/>
              </w:rPr>
            </w:pPr>
            <w:r w:rsidRPr="00B86A3A">
              <w:rPr>
                <w:rFonts w:ascii="Verdana" w:hAnsi="Verdana"/>
                <w:b w:val="0"/>
                <w:sz w:val="18"/>
                <w:szCs w:val="18"/>
              </w:rPr>
              <w:t xml:space="preserve"> </w:t>
            </w:r>
          </w:p>
          <w:p w14:paraId="3B96D8EA" w14:textId="77777777" w:rsidR="00B86A3A" w:rsidRDefault="00B86A3A" w:rsidP="00861126">
            <w:pPr>
              <w:jc w:val="both"/>
              <w:rPr>
                <w:rFonts w:ascii="Verdana" w:hAnsi="Verdana"/>
                <w:b w:val="0"/>
                <w:sz w:val="18"/>
                <w:szCs w:val="18"/>
              </w:rPr>
            </w:pPr>
            <w:r w:rsidRPr="00B86A3A">
              <w:rPr>
                <w:rFonts w:ascii="Verdana" w:hAnsi="Verdana"/>
                <w:b w:val="0"/>
                <w:sz w:val="18"/>
                <w:szCs w:val="18"/>
              </w:rPr>
              <w:t>La meta estimada no sólo varía en función del presupuesto asignado, también lo hace en relación a otros factores: las preferencias de postulación de los agricultores, la ponderación de las distintas variables de cálculo, y el porcentaje máximo de bonificación.</w:t>
            </w:r>
          </w:p>
          <w:p w14:paraId="250C6146" w14:textId="77777777" w:rsidR="00A86532" w:rsidRPr="00861126" w:rsidRDefault="00A86532" w:rsidP="00861126">
            <w:pPr>
              <w:jc w:val="both"/>
              <w:rPr>
                <w:rFonts w:ascii="Verdana" w:hAnsi="Verdana"/>
                <w:b w:val="0"/>
                <w:sz w:val="18"/>
                <w:szCs w:val="18"/>
              </w:rPr>
            </w:pPr>
          </w:p>
          <w:p w14:paraId="66FC9338" w14:textId="105A2093" w:rsidR="00A86532" w:rsidRDefault="00A86532" w:rsidP="00861126">
            <w:pPr>
              <w:jc w:val="both"/>
              <w:rPr>
                <w:rFonts w:ascii="Verdana" w:hAnsi="Verdana"/>
                <w:b w:val="0"/>
                <w:sz w:val="18"/>
                <w:szCs w:val="18"/>
              </w:rPr>
            </w:pPr>
            <w:r w:rsidRPr="00861126">
              <w:rPr>
                <w:rFonts w:ascii="Verdana" w:hAnsi="Verdana"/>
                <w:b w:val="0"/>
                <w:sz w:val="18"/>
                <w:szCs w:val="18"/>
              </w:rPr>
              <w:t>Durante la Temporada 2019 se gestionaron un total de 36 concursos regionales logrando beneficiar a 1.891 agricultores/as con un monto total de $7.988.312.912 que se refleja en 63.231 hectáreas bonificadas a nivel nacional con un costo promedio de $126.335 por hectárea.</w:t>
            </w:r>
            <w:r w:rsidR="005F137F">
              <w:rPr>
                <w:rFonts w:ascii="Verdana" w:hAnsi="Verdana"/>
                <w:b w:val="0"/>
                <w:sz w:val="18"/>
                <w:szCs w:val="18"/>
              </w:rPr>
              <w:t xml:space="preserve"> El detalle por región es el siguiente:</w:t>
            </w:r>
          </w:p>
          <w:p w14:paraId="6CA0601F" w14:textId="77777777" w:rsidR="004711B9" w:rsidRDefault="004711B9" w:rsidP="00861126">
            <w:pPr>
              <w:jc w:val="both"/>
              <w:rPr>
                <w:rFonts w:ascii="Verdana" w:hAnsi="Verdana"/>
                <w:b w:val="0"/>
                <w:sz w:val="18"/>
                <w:szCs w:val="18"/>
              </w:rPr>
            </w:pPr>
          </w:p>
          <w:p w14:paraId="02A8AE8E" w14:textId="77777777" w:rsidR="0059613C" w:rsidRDefault="0059613C" w:rsidP="00861126">
            <w:pPr>
              <w:jc w:val="both"/>
              <w:rPr>
                <w:rFonts w:ascii="Verdana" w:hAnsi="Verdana"/>
                <w:b w:val="0"/>
                <w:sz w:val="18"/>
                <w:szCs w:val="18"/>
              </w:rPr>
            </w:pPr>
          </w:p>
          <w:tbl>
            <w:tblPr>
              <w:tblW w:w="8522" w:type="dxa"/>
              <w:tblCellMar>
                <w:left w:w="70" w:type="dxa"/>
                <w:right w:w="70" w:type="dxa"/>
              </w:tblCellMar>
              <w:tblLook w:val="04A0" w:firstRow="1" w:lastRow="0" w:firstColumn="1" w:lastColumn="0" w:noHBand="0" w:noVBand="1"/>
            </w:tblPr>
            <w:tblGrid>
              <w:gridCol w:w="2260"/>
              <w:gridCol w:w="1443"/>
              <w:gridCol w:w="2399"/>
              <w:gridCol w:w="2420"/>
            </w:tblGrid>
            <w:tr w:rsidR="00EC3FD5" w:rsidRPr="00EC3FD5" w14:paraId="54C8F101" w14:textId="77777777" w:rsidTr="0059613C">
              <w:trPr>
                <w:trHeight w:val="210"/>
              </w:trPr>
              <w:tc>
                <w:tcPr>
                  <w:tcW w:w="22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1A856DDF" w14:textId="77777777" w:rsidR="00EC3FD5" w:rsidRPr="0059613C" w:rsidRDefault="00EC3FD5" w:rsidP="00EC3FD5">
                  <w:pPr>
                    <w:spacing w:after="0" w:line="240" w:lineRule="auto"/>
                    <w:jc w:val="center"/>
                    <w:rPr>
                      <w:rFonts w:ascii="Verdana" w:eastAsia="Times New Roman" w:hAnsi="Verdana" w:cstheme="minorHAnsi"/>
                      <w:b/>
                      <w:bCs/>
                      <w:sz w:val="18"/>
                      <w:szCs w:val="18"/>
                      <w:lang w:eastAsia="es-CL"/>
                    </w:rPr>
                  </w:pPr>
                  <w:r w:rsidRPr="0059613C">
                    <w:rPr>
                      <w:rFonts w:ascii="Verdana" w:eastAsia="Times New Roman" w:hAnsi="Verdana" w:cstheme="minorHAnsi"/>
                      <w:b/>
                      <w:bCs/>
                      <w:sz w:val="18"/>
                      <w:szCs w:val="18"/>
                      <w:lang w:eastAsia="es-CL"/>
                    </w:rPr>
                    <w:t>Región</w:t>
                  </w:r>
                </w:p>
              </w:tc>
              <w:tc>
                <w:tcPr>
                  <w:tcW w:w="1443" w:type="dxa"/>
                  <w:tcBorders>
                    <w:top w:val="single" w:sz="4" w:space="0" w:color="auto"/>
                    <w:left w:val="single" w:sz="4" w:space="0" w:color="auto"/>
                    <w:bottom w:val="single" w:sz="4" w:space="0" w:color="000000"/>
                    <w:right w:val="single" w:sz="4" w:space="0" w:color="auto"/>
                  </w:tcBorders>
                  <w:shd w:val="clear" w:color="auto" w:fill="DEEAF6" w:themeFill="accent1" w:themeFillTint="33"/>
                  <w:vAlign w:val="center"/>
                  <w:hideMark/>
                </w:tcPr>
                <w:p w14:paraId="0BD4B47E" w14:textId="77777777" w:rsidR="00EC3FD5" w:rsidRPr="0059613C" w:rsidRDefault="00EC3FD5" w:rsidP="00EC3FD5">
                  <w:pPr>
                    <w:spacing w:after="0" w:line="240" w:lineRule="auto"/>
                    <w:jc w:val="center"/>
                    <w:rPr>
                      <w:rFonts w:ascii="Verdana" w:eastAsia="Times New Roman" w:hAnsi="Verdana" w:cstheme="minorHAnsi"/>
                      <w:b/>
                      <w:bCs/>
                      <w:sz w:val="18"/>
                      <w:szCs w:val="18"/>
                      <w:lang w:eastAsia="es-CL"/>
                    </w:rPr>
                  </w:pPr>
                  <w:r w:rsidRPr="0059613C">
                    <w:rPr>
                      <w:rFonts w:ascii="Verdana" w:eastAsia="Times New Roman" w:hAnsi="Verdana" w:cstheme="minorHAnsi"/>
                      <w:b/>
                      <w:bCs/>
                      <w:sz w:val="18"/>
                      <w:szCs w:val="18"/>
                      <w:lang w:eastAsia="es-CL"/>
                    </w:rPr>
                    <w:t>Nº Usuarios</w:t>
                  </w:r>
                </w:p>
              </w:tc>
              <w:tc>
                <w:tcPr>
                  <w:tcW w:w="2399" w:type="dxa"/>
                  <w:tcBorders>
                    <w:top w:val="single" w:sz="4" w:space="0" w:color="auto"/>
                    <w:left w:val="single" w:sz="4" w:space="0" w:color="auto"/>
                    <w:bottom w:val="single" w:sz="4" w:space="0" w:color="000000"/>
                    <w:right w:val="single" w:sz="4" w:space="0" w:color="auto"/>
                  </w:tcBorders>
                  <w:shd w:val="clear" w:color="auto" w:fill="DEEAF6" w:themeFill="accent1" w:themeFillTint="33"/>
                  <w:vAlign w:val="center"/>
                  <w:hideMark/>
                </w:tcPr>
                <w:p w14:paraId="7A1D0D40" w14:textId="77777777" w:rsidR="00EC3FD5" w:rsidRPr="0059613C" w:rsidRDefault="00EC3FD5" w:rsidP="00EC3FD5">
                  <w:pPr>
                    <w:spacing w:after="0" w:line="240" w:lineRule="auto"/>
                    <w:jc w:val="center"/>
                    <w:rPr>
                      <w:rFonts w:ascii="Verdana" w:eastAsia="Times New Roman" w:hAnsi="Verdana" w:cstheme="minorHAnsi"/>
                      <w:b/>
                      <w:bCs/>
                      <w:sz w:val="18"/>
                      <w:szCs w:val="18"/>
                      <w:lang w:eastAsia="es-CL"/>
                    </w:rPr>
                  </w:pPr>
                  <w:r w:rsidRPr="0059613C">
                    <w:rPr>
                      <w:rFonts w:ascii="Verdana" w:eastAsia="Times New Roman" w:hAnsi="Verdana" w:cstheme="minorHAnsi"/>
                      <w:b/>
                      <w:bCs/>
                      <w:sz w:val="18"/>
                      <w:szCs w:val="18"/>
                      <w:lang w:eastAsia="es-CL"/>
                    </w:rPr>
                    <w:t>Monto Bonificado ($)</w:t>
                  </w:r>
                </w:p>
              </w:tc>
              <w:tc>
                <w:tcPr>
                  <w:tcW w:w="2420"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47925B64" w14:textId="77777777" w:rsidR="00EC3FD5" w:rsidRPr="0059613C" w:rsidRDefault="00EC3FD5" w:rsidP="00EC3FD5">
                  <w:pPr>
                    <w:spacing w:after="0" w:line="240" w:lineRule="auto"/>
                    <w:jc w:val="center"/>
                    <w:rPr>
                      <w:rFonts w:ascii="Verdana" w:eastAsia="Times New Roman" w:hAnsi="Verdana" w:cstheme="minorHAnsi"/>
                      <w:b/>
                      <w:bCs/>
                      <w:color w:val="000000"/>
                      <w:sz w:val="18"/>
                      <w:szCs w:val="18"/>
                      <w:lang w:eastAsia="es-CL"/>
                    </w:rPr>
                  </w:pPr>
                  <w:r w:rsidRPr="0059613C">
                    <w:rPr>
                      <w:rFonts w:ascii="Verdana" w:eastAsia="Times New Roman" w:hAnsi="Verdana" w:cstheme="minorHAnsi"/>
                      <w:b/>
                      <w:bCs/>
                      <w:color w:val="000000"/>
                      <w:sz w:val="18"/>
                      <w:szCs w:val="18"/>
                      <w:lang w:eastAsia="es-CL"/>
                    </w:rPr>
                    <w:t xml:space="preserve">Superficie </w:t>
                  </w:r>
                  <w:proofErr w:type="spellStart"/>
                  <w:r w:rsidRPr="0059613C">
                    <w:rPr>
                      <w:rFonts w:ascii="Verdana" w:eastAsia="Times New Roman" w:hAnsi="Verdana" w:cstheme="minorHAnsi"/>
                      <w:b/>
                      <w:bCs/>
                      <w:color w:val="000000"/>
                      <w:sz w:val="18"/>
                      <w:szCs w:val="18"/>
                      <w:lang w:eastAsia="es-CL"/>
                    </w:rPr>
                    <w:t>Bonif</w:t>
                  </w:r>
                  <w:proofErr w:type="spellEnd"/>
                  <w:r w:rsidRPr="0059613C">
                    <w:rPr>
                      <w:rFonts w:ascii="Verdana" w:eastAsia="Times New Roman" w:hAnsi="Verdana" w:cstheme="minorHAnsi"/>
                      <w:b/>
                      <w:bCs/>
                      <w:color w:val="000000"/>
                      <w:sz w:val="18"/>
                      <w:szCs w:val="18"/>
                      <w:lang w:eastAsia="es-CL"/>
                    </w:rPr>
                    <w:t xml:space="preserve"> (ha)</w:t>
                  </w:r>
                </w:p>
              </w:tc>
            </w:tr>
            <w:tr w:rsidR="008230E7" w:rsidRPr="008230E7" w14:paraId="40FAFD08" w14:textId="77777777" w:rsidTr="0059613C">
              <w:trPr>
                <w:trHeight w:val="315"/>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3BD29FDC" w14:textId="77777777" w:rsidR="008230E7" w:rsidRPr="0059613C" w:rsidRDefault="008230E7" w:rsidP="0059613C">
                  <w:pPr>
                    <w:spacing w:after="0" w:line="240" w:lineRule="auto"/>
                    <w:rPr>
                      <w:rFonts w:ascii="Verdana" w:eastAsia="Times New Roman" w:hAnsi="Verdana" w:cstheme="minorHAnsi"/>
                      <w:sz w:val="18"/>
                      <w:szCs w:val="18"/>
                      <w:lang w:eastAsia="es-CL"/>
                    </w:rPr>
                  </w:pPr>
                  <w:r w:rsidRPr="0059613C">
                    <w:rPr>
                      <w:rFonts w:ascii="Verdana" w:eastAsia="Times New Roman" w:hAnsi="Verdana" w:cstheme="minorHAnsi"/>
                      <w:sz w:val="18"/>
                      <w:szCs w:val="18"/>
                      <w:lang w:eastAsia="es-CL"/>
                    </w:rPr>
                    <w:t>Arica y Parinacota</w:t>
                  </w:r>
                </w:p>
              </w:tc>
              <w:tc>
                <w:tcPr>
                  <w:tcW w:w="1443" w:type="dxa"/>
                  <w:tcBorders>
                    <w:top w:val="nil"/>
                    <w:left w:val="nil"/>
                    <w:bottom w:val="single" w:sz="4" w:space="0" w:color="auto"/>
                    <w:right w:val="single" w:sz="4" w:space="0" w:color="auto"/>
                  </w:tcBorders>
                  <w:shd w:val="clear" w:color="auto" w:fill="auto"/>
                  <w:vAlign w:val="center"/>
                  <w:hideMark/>
                </w:tcPr>
                <w:p w14:paraId="1A4B955D" w14:textId="77777777" w:rsidR="008230E7" w:rsidRPr="0059613C" w:rsidRDefault="008230E7" w:rsidP="0059613C">
                  <w:pPr>
                    <w:spacing w:after="0" w:line="240" w:lineRule="auto"/>
                    <w:jc w:val="center"/>
                    <w:rPr>
                      <w:rFonts w:ascii="Verdana" w:eastAsia="Times New Roman" w:hAnsi="Verdana" w:cstheme="minorHAnsi"/>
                      <w:sz w:val="18"/>
                      <w:szCs w:val="18"/>
                      <w:lang w:eastAsia="es-CL"/>
                    </w:rPr>
                  </w:pPr>
                  <w:r w:rsidRPr="0059613C">
                    <w:rPr>
                      <w:rFonts w:ascii="Verdana" w:eastAsia="Times New Roman" w:hAnsi="Verdana" w:cstheme="minorHAnsi"/>
                      <w:sz w:val="18"/>
                      <w:szCs w:val="18"/>
                      <w:lang w:eastAsia="es-CL"/>
                    </w:rPr>
                    <w:t>19</w:t>
                  </w:r>
                </w:p>
              </w:tc>
              <w:tc>
                <w:tcPr>
                  <w:tcW w:w="2399" w:type="dxa"/>
                  <w:tcBorders>
                    <w:top w:val="nil"/>
                    <w:left w:val="nil"/>
                    <w:bottom w:val="single" w:sz="4" w:space="0" w:color="auto"/>
                    <w:right w:val="single" w:sz="4" w:space="0" w:color="auto"/>
                  </w:tcBorders>
                  <w:shd w:val="clear" w:color="auto" w:fill="auto"/>
                  <w:noWrap/>
                  <w:vAlign w:val="center"/>
                  <w:hideMark/>
                </w:tcPr>
                <w:p w14:paraId="60ADCD7A" w14:textId="77777777" w:rsidR="008230E7" w:rsidRPr="0059613C" w:rsidRDefault="008230E7" w:rsidP="0059613C">
                  <w:pPr>
                    <w:spacing w:after="0" w:line="240" w:lineRule="auto"/>
                    <w:jc w:val="right"/>
                    <w:rPr>
                      <w:rFonts w:ascii="Verdana" w:eastAsia="Times New Roman" w:hAnsi="Verdana" w:cstheme="minorHAnsi"/>
                      <w:color w:val="000000"/>
                      <w:sz w:val="18"/>
                      <w:szCs w:val="18"/>
                      <w:lang w:eastAsia="es-CL"/>
                    </w:rPr>
                  </w:pPr>
                  <w:r w:rsidRPr="0059613C">
                    <w:rPr>
                      <w:rFonts w:ascii="Verdana" w:eastAsia="Times New Roman" w:hAnsi="Verdana" w:cstheme="minorHAnsi"/>
                      <w:color w:val="000000"/>
                      <w:sz w:val="18"/>
                      <w:szCs w:val="18"/>
                      <w:lang w:eastAsia="es-CL"/>
                    </w:rPr>
                    <w:t>53.122.768</w:t>
                  </w:r>
                </w:p>
              </w:tc>
              <w:tc>
                <w:tcPr>
                  <w:tcW w:w="2420" w:type="dxa"/>
                  <w:tcBorders>
                    <w:top w:val="single" w:sz="4" w:space="0" w:color="auto"/>
                    <w:left w:val="nil"/>
                    <w:bottom w:val="single" w:sz="4" w:space="0" w:color="auto"/>
                    <w:right w:val="single" w:sz="4" w:space="0" w:color="auto"/>
                  </w:tcBorders>
                  <w:shd w:val="clear" w:color="auto" w:fill="auto"/>
                  <w:noWrap/>
                  <w:vAlign w:val="center"/>
                  <w:hideMark/>
                </w:tcPr>
                <w:p w14:paraId="06B0A01C" w14:textId="77777777" w:rsidR="008230E7" w:rsidRPr="0059613C" w:rsidRDefault="008230E7" w:rsidP="0059613C">
                  <w:pPr>
                    <w:spacing w:after="0" w:line="240" w:lineRule="auto"/>
                    <w:jc w:val="right"/>
                    <w:rPr>
                      <w:rFonts w:ascii="Verdana" w:eastAsia="Times New Roman" w:hAnsi="Verdana" w:cstheme="minorHAnsi"/>
                      <w:color w:val="000000"/>
                      <w:sz w:val="18"/>
                      <w:szCs w:val="18"/>
                      <w:lang w:eastAsia="es-CL"/>
                    </w:rPr>
                  </w:pPr>
                  <w:r w:rsidRPr="0059613C">
                    <w:rPr>
                      <w:rFonts w:ascii="Verdana" w:eastAsia="Times New Roman" w:hAnsi="Verdana" w:cstheme="minorHAnsi"/>
                      <w:color w:val="000000"/>
                      <w:sz w:val="18"/>
                      <w:szCs w:val="18"/>
                      <w:lang w:eastAsia="es-CL"/>
                    </w:rPr>
                    <w:t>203</w:t>
                  </w:r>
                </w:p>
              </w:tc>
            </w:tr>
            <w:tr w:rsidR="008230E7" w:rsidRPr="008230E7" w14:paraId="3156DD3A" w14:textId="77777777" w:rsidTr="0059613C">
              <w:trPr>
                <w:trHeight w:val="315"/>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77C9F1D9" w14:textId="77777777" w:rsidR="008230E7" w:rsidRPr="0059613C" w:rsidRDefault="008230E7" w:rsidP="0059613C">
                  <w:pPr>
                    <w:spacing w:after="0" w:line="240" w:lineRule="auto"/>
                    <w:rPr>
                      <w:rFonts w:ascii="Verdana" w:eastAsia="Times New Roman" w:hAnsi="Verdana" w:cstheme="minorHAnsi"/>
                      <w:sz w:val="18"/>
                      <w:szCs w:val="18"/>
                      <w:lang w:eastAsia="es-CL"/>
                    </w:rPr>
                  </w:pPr>
                  <w:r w:rsidRPr="0059613C">
                    <w:rPr>
                      <w:rFonts w:ascii="Verdana" w:eastAsia="Times New Roman" w:hAnsi="Verdana" w:cstheme="minorHAnsi"/>
                      <w:sz w:val="18"/>
                      <w:szCs w:val="18"/>
                      <w:lang w:eastAsia="es-CL"/>
                    </w:rPr>
                    <w:t>Tarapacá</w:t>
                  </w:r>
                </w:p>
              </w:tc>
              <w:tc>
                <w:tcPr>
                  <w:tcW w:w="1443" w:type="dxa"/>
                  <w:tcBorders>
                    <w:top w:val="nil"/>
                    <w:left w:val="nil"/>
                    <w:bottom w:val="single" w:sz="4" w:space="0" w:color="auto"/>
                    <w:right w:val="single" w:sz="4" w:space="0" w:color="auto"/>
                  </w:tcBorders>
                  <w:shd w:val="clear" w:color="auto" w:fill="auto"/>
                  <w:vAlign w:val="center"/>
                  <w:hideMark/>
                </w:tcPr>
                <w:p w14:paraId="194FF8C9" w14:textId="77777777" w:rsidR="008230E7" w:rsidRPr="0059613C" w:rsidRDefault="00EC3FD5" w:rsidP="0059613C">
                  <w:pPr>
                    <w:spacing w:after="0" w:line="240" w:lineRule="auto"/>
                    <w:jc w:val="center"/>
                    <w:rPr>
                      <w:rFonts w:ascii="Verdana" w:eastAsia="Times New Roman" w:hAnsi="Verdana" w:cstheme="minorHAnsi"/>
                      <w:sz w:val="18"/>
                      <w:szCs w:val="18"/>
                      <w:lang w:eastAsia="es-CL"/>
                    </w:rPr>
                  </w:pPr>
                  <w:r w:rsidRPr="0059613C">
                    <w:rPr>
                      <w:rFonts w:ascii="Verdana" w:eastAsia="Times New Roman" w:hAnsi="Verdana" w:cstheme="minorHAnsi"/>
                      <w:sz w:val="18"/>
                      <w:szCs w:val="18"/>
                      <w:lang w:eastAsia="es-CL"/>
                    </w:rPr>
                    <w:t>65</w:t>
                  </w:r>
                </w:p>
              </w:tc>
              <w:tc>
                <w:tcPr>
                  <w:tcW w:w="2399" w:type="dxa"/>
                  <w:tcBorders>
                    <w:top w:val="nil"/>
                    <w:left w:val="nil"/>
                    <w:bottom w:val="single" w:sz="4" w:space="0" w:color="auto"/>
                    <w:right w:val="single" w:sz="4" w:space="0" w:color="auto"/>
                  </w:tcBorders>
                  <w:shd w:val="clear" w:color="auto" w:fill="auto"/>
                  <w:noWrap/>
                  <w:vAlign w:val="center"/>
                  <w:hideMark/>
                </w:tcPr>
                <w:p w14:paraId="2C0800AD" w14:textId="77777777" w:rsidR="008230E7" w:rsidRPr="0059613C" w:rsidRDefault="008230E7" w:rsidP="0059613C">
                  <w:pPr>
                    <w:spacing w:after="0" w:line="240" w:lineRule="auto"/>
                    <w:jc w:val="right"/>
                    <w:rPr>
                      <w:rFonts w:ascii="Verdana" w:eastAsia="Times New Roman" w:hAnsi="Verdana" w:cstheme="minorHAnsi"/>
                      <w:color w:val="000000"/>
                      <w:sz w:val="18"/>
                      <w:szCs w:val="18"/>
                      <w:lang w:eastAsia="es-CL"/>
                    </w:rPr>
                  </w:pPr>
                  <w:r w:rsidRPr="0059613C">
                    <w:rPr>
                      <w:rFonts w:ascii="Verdana" w:eastAsia="Times New Roman" w:hAnsi="Verdana" w:cstheme="minorHAnsi"/>
                      <w:color w:val="000000"/>
                      <w:sz w:val="18"/>
                      <w:szCs w:val="18"/>
                      <w:lang w:eastAsia="es-CL"/>
                    </w:rPr>
                    <w:t>151.020.121</w:t>
                  </w:r>
                </w:p>
              </w:tc>
              <w:tc>
                <w:tcPr>
                  <w:tcW w:w="2420" w:type="dxa"/>
                  <w:tcBorders>
                    <w:top w:val="nil"/>
                    <w:left w:val="nil"/>
                    <w:bottom w:val="single" w:sz="4" w:space="0" w:color="auto"/>
                    <w:right w:val="single" w:sz="4" w:space="0" w:color="auto"/>
                  </w:tcBorders>
                  <w:shd w:val="clear" w:color="auto" w:fill="auto"/>
                  <w:noWrap/>
                  <w:vAlign w:val="center"/>
                  <w:hideMark/>
                </w:tcPr>
                <w:p w14:paraId="4A0EB587" w14:textId="77777777" w:rsidR="008230E7" w:rsidRPr="0059613C" w:rsidRDefault="008230E7" w:rsidP="0059613C">
                  <w:pPr>
                    <w:spacing w:after="0" w:line="240" w:lineRule="auto"/>
                    <w:jc w:val="right"/>
                    <w:rPr>
                      <w:rFonts w:ascii="Verdana" w:eastAsia="Times New Roman" w:hAnsi="Verdana" w:cstheme="minorHAnsi"/>
                      <w:color w:val="000000"/>
                      <w:sz w:val="18"/>
                      <w:szCs w:val="18"/>
                      <w:lang w:eastAsia="es-CL"/>
                    </w:rPr>
                  </w:pPr>
                  <w:r w:rsidRPr="0059613C">
                    <w:rPr>
                      <w:rFonts w:ascii="Verdana" w:eastAsia="Times New Roman" w:hAnsi="Verdana" w:cstheme="minorHAnsi"/>
                      <w:color w:val="000000"/>
                      <w:sz w:val="18"/>
                      <w:szCs w:val="18"/>
                      <w:lang w:eastAsia="es-CL"/>
                    </w:rPr>
                    <w:t>465</w:t>
                  </w:r>
                </w:p>
              </w:tc>
            </w:tr>
            <w:tr w:rsidR="008230E7" w:rsidRPr="008230E7" w14:paraId="36D9F5F4" w14:textId="77777777" w:rsidTr="0059613C">
              <w:trPr>
                <w:trHeight w:val="315"/>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6C71C419" w14:textId="77777777" w:rsidR="008230E7" w:rsidRPr="0059613C" w:rsidRDefault="008230E7" w:rsidP="0059613C">
                  <w:pPr>
                    <w:spacing w:after="0" w:line="240" w:lineRule="auto"/>
                    <w:rPr>
                      <w:rFonts w:ascii="Verdana" w:eastAsia="Times New Roman" w:hAnsi="Verdana" w:cstheme="minorHAnsi"/>
                      <w:sz w:val="18"/>
                      <w:szCs w:val="18"/>
                      <w:lang w:eastAsia="es-CL"/>
                    </w:rPr>
                  </w:pPr>
                  <w:r w:rsidRPr="0059613C">
                    <w:rPr>
                      <w:rFonts w:ascii="Verdana" w:eastAsia="Times New Roman" w:hAnsi="Verdana" w:cstheme="minorHAnsi"/>
                      <w:sz w:val="18"/>
                      <w:szCs w:val="18"/>
                      <w:lang w:eastAsia="es-CL"/>
                    </w:rPr>
                    <w:t>Antofagasta</w:t>
                  </w:r>
                </w:p>
              </w:tc>
              <w:tc>
                <w:tcPr>
                  <w:tcW w:w="1443" w:type="dxa"/>
                  <w:tcBorders>
                    <w:top w:val="nil"/>
                    <w:left w:val="nil"/>
                    <w:bottom w:val="single" w:sz="4" w:space="0" w:color="auto"/>
                    <w:right w:val="single" w:sz="4" w:space="0" w:color="auto"/>
                  </w:tcBorders>
                  <w:shd w:val="clear" w:color="auto" w:fill="auto"/>
                  <w:vAlign w:val="center"/>
                  <w:hideMark/>
                </w:tcPr>
                <w:p w14:paraId="637CDE9A" w14:textId="77777777" w:rsidR="008230E7" w:rsidRPr="0059613C" w:rsidRDefault="008230E7" w:rsidP="0059613C">
                  <w:pPr>
                    <w:spacing w:after="0" w:line="240" w:lineRule="auto"/>
                    <w:jc w:val="center"/>
                    <w:rPr>
                      <w:rFonts w:ascii="Verdana" w:eastAsia="Times New Roman" w:hAnsi="Verdana" w:cstheme="minorHAnsi"/>
                      <w:sz w:val="18"/>
                      <w:szCs w:val="18"/>
                      <w:lang w:eastAsia="es-CL"/>
                    </w:rPr>
                  </w:pPr>
                  <w:r w:rsidRPr="0059613C">
                    <w:rPr>
                      <w:rFonts w:ascii="Verdana" w:eastAsia="Times New Roman" w:hAnsi="Verdana" w:cstheme="minorHAnsi"/>
                      <w:sz w:val="18"/>
                      <w:szCs w:val="18"/>
                      <w:lang w:eastAsia="es-CL"/>
                    </w:rPr>
                    <w:t>18</w:t>
                  </w:r>
                </w:p>
              </w:tc>
              <w:tc>
                <w:tcPr>
                  <w:tcW w:w="2399" w:type="dxa"/>
                  <w:tcBorders>
                    <w:top w:val="nil"/>
                    <w:left w:val="nil"/>
                    <w:bottom w:val="single" w:sz="4" w:space="0" w:color="auto"/>
                    <w:right w:val="single" w:sz="4" w:space="0" w:color="auto"/>
                  </w:tcBorders>
                  <w:shd w:val="clear" w:color="auto" w:fill="auto"/>
                  <w:noWrap/>
                  <w:vAlign w:val="center"/>
                  <w:hideMark/>
                </w:tcPr>
                <w:p w14:paraId="4874ACF6" w14:textId="77777777" w:rsidR="008230E7" w:rsidRPr="0059613C" w:rsidRDefault="008230E7" w:rsidP="0059613C">
                  <w:pPr>
                    <w:spacing w:after="0" w:line="240" w:lineRule="auto"/>
                    <w:jc w:val="right"/>
                    <w:rPr>
                      <w:rFonts w:ascii="Verdana" w:eastAsia="Times New Roman" w:hAnsi="Verdana" w:cstheme="minorHAnsi"/>
                      <w:color w:val="000000"/>
                      <w:sz w:val="18"/>
                      <w:szCs w:val="18"/>
                      <w:lang w:eastAsia="es-CL"/>
                    </w:rPr>
                  </w:pPr>
                  <w:r w:rsidRPr="0059613C">
                    <w:rPr>
                      <w:rFonts w:ascii="Verdana" w:eastAsia="Times New Roman" w:hAnsi="Verdana" w:cstheme="minorHAnsi"/>
                      <w:color w:val="000000"/>
                      <w:sz w:val="18"/>
                      <w:szCs w:val="18"/>
                      <w:lang w:eastAsia="es-CL"/>
                    </w:rPr>
                    <w:t>15.104.258</w:t>
                  </w:r>
                </w:p>
              </w:tc>
              <w:tc>
                <w:tcPr>
                  <w:tcW w:w="2420" w:type="dxa"/>
                  <w:tcBorders>
                    <w:top w:val="nil"/>
                    <w:left w:val="nil"/>
                    <w:bottom w:val="single" w:sz="4" w:space="0" w:color="auto"/>
                    <w:right w:val="single" w:sz="4" w:space="0" w:color="auto"/>
                  </w:tcBorders>
                  <w:shd w:val="clear" w:color="auto" w:fill="auto"/>
                  <w:noWrap/>
                  <w:vAlign w:val="center"/>
                  <w:hideMark/>
                </w:tcPr>
                <w:p w14:paraId="3F1C2C3D" w14:textId="77777777" w:rsidR="008230E7" w:rsidRPr="0059613C" w:rsidRDefault="008230E7" w:rsidP="0059613C">
                  <w:pPr>
                    <w:spacing w:after="0" w:line="240" w:lineRule="auto"/>
                    <w:jc w:val="right"/>
                    <w:rPr>
                      <w:rFonts w:ascii="Verdana" w:eastAsia="Times New Roman" w:hAnsi="Verdana" w:cstheme="minorHAnsi"/>
                      <w:color w:val="000000"/>
                      <w:sz w:val="18"/>
                      <w:szCs w:val="18"/>
                      <w:lang w:eastAsia="es-CL"/>
                    </w:rPr>
                  </w:pPr>
                  <w:r w:rsidRPr="0059613C">
                    <w:rPr>
                      <w:rFonts w:ascii="Verdana" w:eastAsia="Times New Roman" w:hAnsi="Verdana" w:cstheme="minorHAnsi"/>
                      <w:color w:val="000000"/>
                      <w:sz w:val="18"/>
                      <w:szCs w:val="18"/>
                      <w:lang w:eastAsia="es-CL"/>
                    </w:rPr>
                    <w:t>12</w:t>
                  </w:r>
                </w:p>
              </w:tc>
            </w:tr>
            <w:tr w:rsidR="008230E7" w:rsidRPr="008230E7" w14:paraId="5F2E4A0E" w14:textId="77777777" w:rsidTr="0059613C">
              <w:trPr>
                <w:trHeight w:val="315"/>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62BD6AA7" w14:textId="77777777" w:rsidR="008230E7" w:rsidRPr="0059613C" w:rsidRDefault="008230E7" w:rsidP="0059613C">
                  <w:pPr>
                    <w:spacing w:after="0" w:line="240" w:lineRule="auto"/>
                    <w:rPr>
                      <w:rFonts w:ascii="Verdana" w:eastAsia="Times New Roman" w:hAnsi="Verdana" w:cstheme="minorHAnsi"/>
                      <w:sz w:val="18"/>
                      <w:szCs w:val="18"/>
                      <w:lang w:eastAsia="es-CL"/>
                    </w:rPr>
                  </w:pPr>
                  <w:r w:rsidRPr="0059613C">
                    <w:rPr>
                      <w:rFonts w:ascii="Verdana" w:eastAsia="Times New Roman" w:hAnsi="Verdana" w:cstheme="minorHAnsi"/>
                      <w:sz w:val="18"/>
                      <w:szCs w:val="18"/>
                      <w:lang w:eastAsia="es-CL"/>
                    </w:rPr>
                    <w:t>Atacama</w:t>
                  </w:r>
                </w:p>
              </w:tc>
              <w:tc>
                <w:tcPr>
                  <w:tcW w:w="1443" w:type="dxa"/>
                  <w:tcBorders>
                    <w:top w:val="nil"/>
                    <w:left w:val="nil"/>
                    <w:bottom w:val="single" w:sz="4" w:space="0" w:color="auto"/>
                    <w:right w:val="single" w:sz="4" w:space="0" w:color="auto"/>
                  </w:tcBorders>
                  <w:shd w:val="clear" w:color="auto" w:fill="auto"/>
                  <w:vAlign w:val="center"/>
                  <w:hideMark/>
                </w:tcPr>
                <w:p w14:paraId="17B180C8" w14:textId="77777777" w:rsidR="008230E7" w:rsidRPr="0059613C" w:rsidRDefault="008230E7" w:rsidP="0059613C">
                  <w:pPr>
                    <w:spacing w:after="0" w:line="240" w:lineRule="auto"/>
                    <w:jc w:val="center"/>
                    <w:rPr>
                      <w:rFonts w:ascii="Verdana" w:eastAsia="Times New Roman" w:hAnsi="Verdana" w:cstheme="minorHAnsi"/>
                      <w:sz w:val="18"/>
                      <w:szCs w:val="18"/>
                      <w:lang w:eastAsia="es-CL"/>
                    </w:rPr>
                  </w:pPr>
                  <w:r w:rsidRPr="0059613C">
                    <w:rPr>
                      <w:rFonts w:ascii="Verdana" w:eastAsia="Times New Roman" w:hAnsi="Verdana" w:cstheme="minorHAnsi"/>
                      <w:sz w:val="18"/>
                      <w:szCs w:val="18"/>
                      <w:lang w:eastAsia="es-CL"/>
                    </w:rPr>
                    <w:t>37</w:t>
                  </w:r>
                </w:p>
              </w:tc>
              <w:tc>
                <w:tcPr>
                  <w:tcW w:w="2399" w:type="dxa"/>
                  <w:tcBorders>
                    <w:top w:val="nil"/>
                    <w:left w:val="nil"/>
                    <w:bottom w:val="single" w:sz="4" w:space="0" w:color="auto"/>
                    <w:right w:val="single" w:sz="4" w:space="0" w:color="auto"/>
                  </w:tcBorders>
                  <w:shd w:val="clear" w:color="auto" w:fill="auto"/>
                  <w:noWrap/>
                  <w:vAlign w:val="center"/>
                  <w:hideMark/>
                </w:tcPr>
                <w:p w14:paraId="0FA632A7" w14:textId="77777777" w:rsidR="008230E7" w:rsidRPr="0059613C" w:rsidRDefault="008230E7" w:rsidP="0059613C">
                  <w:pPr>
                    <w:spacing w:after="0" w:line="240" w:lineRule="auto"/>
                    <w:jc w:val="right"/>
                    <w:rPr>
                      <w:rFonts w:ascii="Verdana" w:eastAsia="Times New Roman" w:hAnsi="Verdana" w:cstheme="minorHAnsi"/>
                      <w:color w:val="000000"/>
                      <w:sz w:val="18"/>
                      <w:szCs w:val="18"/>
                      <w:lang w:eastAsia="es-CL"/>
                    </w:rPr>
                  </w:pPr>
                  <w:r w:rsidRPr="0059613C">
                    <w:rPr>
                      <w:rFonts w:ascii="Verdana" w:eastAsia="Times New Roman" w:hAnsi="Verdana" w:cstheme="minorHAnsi"/>
                      <w:color w:val="000000"/>
                      <w:sz w:val="18"/>
                      <w:szCs w:val="18"/>
                      <w:lang w:eastAsia="es-CL"/>
                    </w:rPr>
                    <w:t>176.156.680</w:t>
                  </w:r>
                </w:p>
              </w:tc>
              <w:tc>
                <w:tcPr>
                  <w:tcW w:w="2420" w:type="dxa"/>
                  <w:tcBorders>
                    <w:top w:val="nil"/>
                    <w:left w:val="nil"/>
                    <w:bottom w:val="single" w:sz="4" w:space="0" w:color="auto"/>
                    <w:right w:val="single" w:sz="4" w:space="0" w:color="auto"/>
                  </w:tcBorders>
                  <w:shd w:val="clear" w:color="auto" w:fill="auto"/>
                  <w:noWrap/>
                  <w:vAlign w:val="center"/>
                  <w:hideMark/>
                </w:tcPr>
                <w:p w14:paraId="75F1FAC5" w14:textId="77777777" w:rsidR="008230E7" w:rsidRPr="0059613C" w:rsidRDefault="008230E7" w:rsidP="0059613C">
                  <w:pPr>
                    <w:spacing w:after="0" w:line="240" w:lineRule="auto"/>
                    <w:jc w:val="right"/>
                    <w:rPr>
                      <w:rFonts w:ascii="Verdana" w:eastAsia="Times New Roman" w:hAnsi="Verdana" w:cstheme="minorHAnsi"/>
                      <w:color w:val="000000"/>
                      <w:sz w:val="18"/>
                      <w:szCs w:val="18"/>
                      <w:lang w:eastAsia="es-CL"/>
                    </w:rPr>
                  </w:pPr>
                  <w:r w:rsidRPr="0059613C">
                    <w:rPr>
                      <w:rFonts w:ascii="Verdana" w:eastAsia="Times New Roman" w:hAnsi="Verdana" w:cstheme="minorHAnsi"/>
                      <w:color w:val="000000"/>
                      <w:sz w:val="18"/>
                      <w:szCs w:val="18"/>
                      <w:lang w:eastAsia="es-CL"/>
                    </w:rPr>
                    <w:t>656</w:t>
                  </w:r>
                </w:p>
              </w:tc>
            </w:tr>
            <w:tr w:rsidR="008230E7" w:rsidRPr="008230E7" w14:paraId="6F840E81" w14:textId="77777777" w:rsidTr="0059613C">
              <w:trPr>
                <w:trHeight w:val="315"/>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0DDBE9E9" w14:textId="77777777" w:rsidR="008230E7" w:rsidRPr="0059613C" w:rsidRDefault="008230E7" w:rsidP="0059613C">
                  <w:pPr>
                    <w:spacing w:after="0" w:line="240" w:lineRule="auto"/>
                    <w:rPr>
                      <w:rFonts w:ascii="Verdana" w:eastAsia="Times New Roman" w:hAnsi="Verdana" w:cstheme="minorHAnsi"/>
                      <w:sz w:val="18"/>
                      <w:szCs w:val="18"/>
                      <w:lang w:eastAsia="es-CL"/>
                    </w:rPr>
                  </w:pPr>
                  <w:r w:rsidRPr="0059613C">
                    <w:rPr>
                      <w:rFonts w:ascii="Verdana" w:eastAsia="Times New Roman" w:hAnsi="Verdana" w:cstheme="minorHAnsi"/>
                      <w:sz w:val="18"/>
                      <w:szCs w:val="18"/>
                      <w:lang w:eastAsia="es-CL"/>
                    </w:rPr>
                    <w:t>Coquimbo</w:t>
                  </w:r>
                </w:p>
              </w:tc>
              <w:tc>
                <w:tcPr>
                  <w:tcW w:w="1443" w:type="dxa"/>
                  <w:tcBorders>
                    <w:top w:val="nil"/>
                    <w:left w:val="nil"/>
                    <w:bottom w:val="single" w:sz="4" w:space="0" w:color="auto"/>
                    <w:right w:val="single" w:sz="4" w:space="0" w:color="auto"/>
                  </w:tcBorders>
                  <w:shd w:val="clear" w:color="auto" w:fill="auto"/>
                  <w:vAlign w:val="center"/>
                  <w:hideMark/>
                </w:tcPr>
                <w:p w14:paraId="48A9358F" w14:textId="77777777" w:rsidR="008230E7" w:rsidRPr="0059613C" w:rsidRDefault="008230E7" w:rsidP="0059613C">
                  <w:pPr>
                    <w:spacing w:after="0" w:line="240" w:lineRule="auto"/>
                    <w:jc w:val="center"/>
                    <w:rPr>
                      <w:rFonts w:ascii="Verdana" w:eastAsia="Times New Roman" w:hAnsi="Verdana" w:cstheme="minorHAnsi"/>
                      <w:sz w:val="18"/>
                      <w:szCs w:val="18"/>
                      <w:lang w:eastAsia="es-CL"/>
                    </w:rPr>
                  </w:pPr>
                  <w:r w:rsidRPr="0059613C">
                    <w:rPr>
                      <w:rFonts w:ascii="Verdana" w:eastAsia="Times New Roman" w:hAnsi="Verdana" w:cstheme="minorHAnsi"/>
                      <w:sz w:val="18"/>
                      <w:szCs w:val="18"/>
                      <w:lang w:eastAsia="es-CL"/>
                    </w:rPr>
                    <w:t>201</w:t>
                  </w:r>
                </w:p>
              </w:tc>
              <w:tc>
                <w:tcPr>
                  <w:tcW w:w="2399" w:type="dxa"/>
                  <w:tcBorders>
                    <w:top w:val="nil"/>
                    <w:left w:val="nil"/>
                    <w:bottom w:val="single" w:sz="4" w:space="0" w:color="auto"/>
                    <w:right w:val="single" w:sz="4" w:space="0" w:color="auto"/>
                  </w:tcBorders>
                  <w:shd w:val="clear" w:color="auto" w:fill="auto"/>
                  <w:noWrap/>
                  <w:vAlign w:val="center"/>
                  <w:hideMark/>
                </w:tcPr>
                <w:p w14:paraId="1E788558" w14:textId="77777777" w:rsidR="008230E7" w:rsidRPr="0059613C" w:rsidRDefault="008230E7" w:rsidP="0059613C">
                  <w:pPr>
                    <w:spacing w:after="0" w:line="240" w:lineRule="auto"/>
                    <w:jc w:val="right"/>
                    <w:rPr>
                      <w:rFonts w:ascii="Verdana" w:eastAsia="Times New Roman" w:hAnsi="Verdana" w:cstheme="minorHAnsi"/>
                      <w:color w:val="000000"/>
                      <w:sz w:val="18"/>
                      <w:szCs w:val="18"/>
                      <w:lang w:eastAsia="es-CL"/>
                    </w:rPr>
                  </w:pPr>
                  <w:r w:rsidRPr="0059613C">
                    <w:rPr>
                      <w:rFonts w:ascii="Verdana" w:eastAsia="Times New Roman" w:hAnsi="Verdana" w:cstheme="minorHAnsi"/>
                      <w:color w:val="000000"/>
                      <w:sz w:val="18"/>
                      <w:szCs w:val="18"/>
                      <w:lang w:eastAsia="es-CL"/>
                    </w:rPr>
                    <w:t>1.016.775.975</w:t>
                  </w:r>
                </w:p>
              </w:tc>
              <w:tc>
                <w:tcPr>
                  <w:tcW w:w="2420" w:type="dxa"/>
                  <w:tcBorders>
                    <w:top w:val="nil"/>
                    <w:left w:val="nil"/>
                    <w:bottom w:val="single" w:sz="4" w:space="0" w:color="auto"/>
                    <w:right w:val="single" w:sz="4" w:space="0" w:color="auto"/>
                  </w:tcBorders>
                  <w:shd w:val="clear" w:color="auto" w:fill="auto"/>
                  <w:noWrap/>
                  <w:vAlign w:val="center"/>
                  <w:hideMark/>
                </w:tcPr>
                <w:p w14:paraId="10A04502" w14:textId="77777777" w:rsidR="008230E7" w:rsidRPr="0059613C" w:rsidRDefault="008230E7" w:rsidP="0059613C">
                  <w:pPr>
                    <w:spacing w:after="0" w:line="240" w:lineRule="auto"/>
                    <w:jc w:val="right"/>
                    <w:rPr>
                      <w:rFonts w:ascii="Verdana" w:eastAsia="Times New Roman" w:hAnsi="Verdana" w:cstheme="minorHAnsi"/>
                      <w:color w:val="000000"/>
                      <w:sz w:val="18"/>
                      <w:szCs w:val="18"/>
                      <w:lang w:eastAsia="es-CL"/>
                    </w:rPr>
                  </w:pPr>
                  <w:r w:rsidRPr="0059613C">
                    <w:rPr>
                      <w:rFonts w:ascii="Verdana" w:eastAsia="Times New Roman" w:hAnsi="Verdana" w:cstheme="minorHAnsi"/>
                      <w:color w:val="000000"/>
                      <w:sz w:val="18"/>
                      <w:szCs w:val="18"/>
                      <w:lang w:eastAsia="es-CL"/>
                    </w:rPr>
                    <w:t>7.531</w:t>
                  </w:r>
                </w:p>
              </w:tc>
            </w:tr>
            <w:tr w:rsidR="008230E7" w:rsidRPr="008230E7" w14:paraId="54D149EB" w14:textId="77777777" w:rsidTr="0059613C">
              <w:trPr>
                <w:trHeight w:val="315"/>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382D4E38" w14:textId="77777777" w:rsidR="008230E7" w:rsidRPr="0059613C" w:rsidRDefault="008230E7" w:rsidP="0059613C">
                  <w:pPr>
                    <w:spacing w:after="0" w:line="240" w:lineRule="auto"/>
                    <w:rPr>
                      <w:rFonts w:ascii="Verdana" w:eastAsia="Times New Roman" w:hAnsi="Verdana" w:cstheme="minorHAnsi"/>
                      <w:sz w:val="18"/>
                      <w:szCs w:val="18"/>
                      <w:lang w:eastAsia="es-CL"/>
                    </w:rPr>
                  </w:pPr>
                  <w:r w:rsidRPr="0059613C">
                    <w:rPr>
                      <w:rFonts w:ascii="Verdana" w:eastAsia="Times New Roman" w:hAnsi="Verdana" w:cstheme="minorHAnsi"/>
                      <w:sz w:val="18"/>
                      <w:szCs w:val="18"/>
                      <w:lang w:eastAsia="es-CL"/>
                    </w:rPr>
                    <w:t>Valparaíso</w:t>
                  </w:r>
                </w:p>
              </w:tc>
              <w:tc>
                <w:tcPr>
                  <w:tcW w:w="1443" w:type="dxa"/>
                  <w:tcBorders>
                    <w:top w:val="nil"/>
                    <w:left w:val="nil"/>
                    <w:bottom w:val="single" w:sz="4" w:space="0" w:color="auto"/>
                    <w:right w:val="single" w:sz="4" w:space="0" w:color="auto"/>
                  </w:tcBorders>
                  <w:shd w:val="clear" w:color="auto" w:fill="auto"/>
                  <w:vAlign w:val="center"/>
                  <w:hideMark/>
                </w:tcPr>
                <w:p w14:paraId="3D1E8ECA" w14:textId="77777777" w:rsidR="008230E7" w:rsidRPr="0059613C" w:rsidRDefault="008230E7" w:rsidP="0059613C">
                  <w:pPr>
                    <w:spacing w:after="0" w:line="240" w:lineRule="auto"/>
                    <w:jc w:val="center"/>
                    <w:rPr>
                      <w:rFonts w:ascii="Verdana" w:eastAsia="Times New Roman" w:hAnsi="Verdana" w:cstheme="minorHAnsi"/>
                      <w:sz w:val="18"/>
                      <w:szCs w:val="18"/>
                      <w:lang w:eastAsia="es-CL"/>
                    </w:rPr>
                  </w:pPr>
                  <w:r w:rsidRPr="0059613C">
                    <w:rPr>
                      <w:rFonts w:ascii="Verdana" w:eastAsia="Times New Roman" w:hAnsi="Verdana" w:cstheme="minorHAnsi"/>
                      <w:sz w:val="18"/>
                      <w:szCs w:val="18"/>
                      <w:lang w:eastAsia="es-CL"/>
                    </w:rPr>
                    <w:t>98</w:t>
                  </w:r>
                </w:p>
              </w:tc>
              <w:tc>
                <w:tcPr>
                  <w:tcW w:w="2399" w:type="dxa"/>
                  <w:tcBorders>
                    <w:top w:val="nil"/>
                    <w:left w:val="nil"/>
                    <w:bottom w:val="single" w:sz="4" w:space="0" w:color="auto"/>
                    <w:right w:val="single" w:sz="4" w:space="0" w:color="auto"/>
                  </w:tcBorders>
                  <w:shd w:val="clear" w:color="auto" w:fill="auto"/>
                  <w:noWrap/>
                  <w:vAlign w:val="center"/>
                  <w:hideMark/>
                </w:tcPr>
                <w:p w14:paraId="5858AA0E" w14:textId="77777777" w:rsidR="008230E7" w:rsidRPr="0059613C" w:rsidRDefault="008230E7" w:rsidP="0059613C">
                  <w:pPr>
                    <w:spacing w:after="0" w:line="240" w:lineRule="auto"/>
                    <w:jc w:val="right"/>
                    <w:rPr>
                      <w:rFonts w:ascii="Verdana" w:eastAsia="Times New Roman" w:hAnsi="Verdana" w:cstheme="minorHAnsi"/>
                      <w:color w:val="000000"/>
                      <w:sz w:val="18"/>
                      <w:szCs w:val="18"/>
                      <w:lang w:eastAsia="es-CL"/>
                    </w:rPr>
                  </w:pPr>
                  <w:r w:rsidRPr="0059613C">
                    <w:rPr>
                      <w:rFonts w:ascii="Verdana" w:eastAsia="Times New Roman" w:hAnsi="Verdana" w:cstheme="minorHAnsi"/>
                      <w:color w:val="000000"/>
                      <w:sz w:val="18"/>
                      <w:szCs w:val="18"/>
                      <w:lang w:eastAsia="es-CL"/>
                    </w:rPr>
                    <w:t>341.183.492</w:t>
                  </w:r>
                </w:p>
              </w:tc>
              <w:tc>
                <w:tcPr>
                  <w:tcW w:w="2420" w:type="dxa"/>
                  <w:tcBorders>
                    <w:top w:val="nil"/>
                    <w:left w:val="nil"/>
                    <w:bottom w:val="single" w:sz="4" w:space="0" w:color="auto"/>
                    <w:right w:val="single" w:sz="4" w:space="0" w:color="auto"/>
                  </w:tcBorders>
                  <w:shd w:val="clear" w:color="auto" w:fill="auto"/>
                  <w:noWrap/>
                  <w:vAlign w:val="center"/>
                  <w:hideMark/>
                </w:tcPr>
                <w:p w14:paraId="5C80D0A6" w14:textId="77777777" w:rsidR="008230E7" w:rsidRPr="0059613C" w:rsidRDefault="008230E7" w:rsidP="0059613C">
                  <w:pPr>
                    <w:spacing w:after="0" w:line="240" w:lineRule="auto"/>
                    <w:jc w:val="right"/>
                    <w:rPr>
                      <w:rFonts w:ascii="Verdana" w:eastAsia="Times New Roman" w:hAnsi="Verdana" w:cstheme="minorHAnsi"/>
                      <w:color w:val="000000"/>
                      <w:sz w:val="18"/>
                      <w:szCs w:val="18"/>
                      <w:lang w:eastAsia="es-CL"/>
                    </w:rPr>
                  </w:pPr>
                  <w:r w:rsidRPr="0059613C">
                    <w:rPr>
                      <w:rFonts w:ascii="Verdana" w:eastAsia="Times New Roman" w:hAnsi="Verdana" w:cstheme="minorHAnsi"/>
                      <w:color w:val="000000"/>
                      <w:sz w:val="18"/>
                      <w:szCs w:val="18"/>
                      <w:lang w:eastAsia="es-CL"/>
                    </w:rPr>
                    <w:t>954</w:t>
                  </w:r>
                </w:p>
              </w:tc>
            </w:tr>
            <w:tr w:rsidR="008230E7" w:rsidRPr="008230E7" w14:paraId="6310D052" w14:textId="77777777" w:rsidTr="0059613C">
              <w:trPr>
                <w:trHeight w:val="315"/>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7C0D9F7F" w14:textId="77777777" w:rsidR="008230E7" w:rsidRPr="0059613C" w:rsidRDefault="008230E7" w:rsidP="0059613C">
                  <w:pPr>
                    <w:spacing w:after="0" w:line="240" w:lineRule="auto"/>
                    <w:rPr>
                      <w:rFonts w:ascii="Verdana" w:eastAsia="Times New Roman" w:hAnsi="Verdana" w:cstheme="minorHAnsi"/>
                      <w:sz w:val="18"/>
                      <w:szCs w:val="18"/>
                      <w:lang w:eastAsia="es-CL"/>
                    </w:rPr>
                  </w:pPr>
                  <w:r w:rsidRPr="0059613C">
                    <w:rPr>
                      <w:rFonts w:ascii="Verdana" w:eastAsia="Times New Roman" w:hAnsi="Verdana" w:cstheme="minorHAnsi"/>
                      <w:sz w:val="18"/>
                      <w:szCs w:val="18"/>
                      <w:lang w:eastAsia="es-CL"/>
                    </w:rPr>
                    <w:t>Metropolitana</w:t>
                  </w:r>
                </w:p>
              </w:tc>
              <w:tc>
                <w:tcPr>
                  <w:tcW w:w="1443" w:type="dxa"/>
                  <w:tcBorders>
                    <w:top w:val="nil"/>
                    <w:left w:val="nil"/>
                    <w:bottom w:val="single" w:sz="4" w:space="0" w:color="auto"/>
                    <w:right w:val="single" w:sz="4" w:space="0" w:color="auto"/>
                  </w:tcBorders>
                  <w:shd w:val="clear" w:color="auto" w:fill="auto"/>
                  <w:vAlign w:val="center"/>
                  <w:hideMark/>
                </w:tcPr>
                <w:p w14:paraId="31ACD741" w14:textId="77777777" w:rsidR="008230E7" w:rsidRPr="0059613C" w:rsidRDefault="008230E7" w:rsidP="0059613C">
                  <w:pPr>
                    <w:spacing w:after="0" w:line="240" w:lineRule="auto"/>
                    <w:jc w:val="center"/>
                    <w:rPr>
                      <w:rFonts w:ascii="Verdana" w:eastAsia="Times New Roman" w:hAnsi="Verdana" w:cstheme="minorHAnsi"/>
                      <w:sz w:val="18"/>
                      <w:szCs w:val="18"/>
                      <w:lang w:eastAsia="es-CL"/>
                    </w:rPr>
                  </w:pPr>
                  <w:r w:rsidRPr="0059613C">
                    <w:rPr>
                      <w:rFonts w:ascii="Verdana" w:eastAsia="Times New Roman" w:hAnsi="Verdana" w:cstheme="minorHAnsi"/>
                      <w:sz w:val="18"/>
                      <w:szCs w:val="18"/>
                      <w:lang w:eastAsia="es-CL"/>
                    </w:rPr>
                    <w:t>31</w:t>
                  </w:r>
                </w:p>
              </w:tc>
              <w:tc>
                <w:tcPr>
                  <w:tcW w:w="2399" w:type="dxa"/>
                  <w:tcBorders>
                    <w:top w:val="nil"/>
                    <w:left w:val="nil"/>
                    <w:bottom w:val="single" w:sz="4" w:space="0" w:color="auto"/>
                    <w:right w:val="single" w:sz="4" w:space="0" w:color="auto"/>
                  </w:tcBorders>
                  <w:shd w:val="clear" w:color="auto" w:fill="auto"/>
                  <w:noWrap/>
                  <w:vAlign w:val="center"/>
                  <w:hideMark/>
                </w:tcPr>
                <w:p w14:paraId="4ECAA5DD" w14:textId="77777777" w:rsidR="008230E7" w:rsidRPr="0059613C" w:rsidRDefault="008230E7" w:rsidP="0059613C">
                  <w:pPr>
                    <w:spacing w:after="0" w:line="240" w:lineRule="auto"/>
                    <w:jc w:val="right"/>
                    <w:rPr>
                      <w:rFonts w:ascii="Verdana" w:eastAsia="Times New Roman" w:hAnsi="Verdana" w:cstheme="minorHAnsi"/>
                      <w:color w:val="000000"/>
                      <w:sz w:val="18"/>
                      <w:szCs w:val="18"/>
                      <w:lang w:eastAsia="es-CL"/>
                    </w:rPr>
                  </w:pPr>
                  <w:r w:rsidRPr="0059613C">
                    <w:rPr>
                      <w:rFonts w:ascii="Verdana" w:eastAsia="Times New Roman" w:hAnsi="Verdana" w:cstheme="minorHAnsi"/>
                      <w:color w:val="000000"/>
                      <w:sz w:val="18"/>
                      <w:szCs w:val="18"/>
                      <w:lang w:eastAsia="es-CL"/>
                    </w:rPr>
                    <w:t>131.450.053</w:t>
                  </w:r>
                </w:p>
              </w:tc>
              <w:tc>
                <w:tcPr>
                  <w:tcW w:w="2420" w:type="dxa"/>
                  <w:tcBorders>
                    <w:top w:val="nil"/>
                    <w:left w:val="nil"/>
                    <w:bottom w:val="single" w:sz="4" w:space="0" w:color="auto"/>
                    <w:right w:val="single" w:sz="4" w:space="0" w:color="auto"/>
                  </w:tcBorders>
                  <w:shd w:val="clear" w:color="auto" w:fill="auto"/>
                  <w:noWrap/>
                  <w:vAlign w:val="center"/>
                  <w:hideMark/>
                </w:tcPr>
                <w:p w14:paraId="4F49F38A" w14:textId="77777777" w:rsidR="008230E7" w:rsidRPr="0059613C" w:rsidRDefault="008230E7" w:rsidP="0059613C">
                  <w:pPr>
                    <w:spacing w:after="0" w:line="240" w:lineRule="auto"/>
                    <w:jc w:val="right"/>
                    <w:rPr>
                      <w:rFonts w:ascii="Verdana" w:eastAsia="Times New Roman" w:hAnsi="Verdana" w:cstheme="minorHAnsi"/>
                      <w:color w:val="000000"/>
                      <w:sz w:val="18"/>
                      <w:szCs w:val="18"/>
                      <w:lang w:eastAsia="es-CL"/>
                    </w:rPr>
                  </w:pPr>
                  <w:r w:rsidRPr="0059613C">
                    <w:rPr>
                      <w:rFonts w:ascii="Verdana" w:eastAsia="Times New Roman" w:hAnsi="Verdana" w:cstheme="minorHAnsi"/>
                      <w:color w:val="000000"/>
                      <w:sz w:val="18"/>
                      <w:szCs w:val="18"/>
                      <w:lang w:eastAsia="es-CL"/>
                    </w:rPr>
                    <w:t>891</w:t>
                  </w:r>
                </w:p>
              </w:tc>
            </w:tr>
            <w:tr w:rsidR="008230E7" w:rsidRPr="008230E7" w14:paraId="695921D7" w14:textId="77777777" w:rsidTr="0059613C">
              <w:trPr>
                <w:trHeight w:val="315"/>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1714B5CE" w14:textId="77777777" w:rsidR="008230E7" w:rsidRPr="0059613C" w:rsidRDefault="008230E7" w:rsidP="0059613C">
                  <w:pPr>
                    <w:spacing w:after="0" w:line="240" w:lineRule="auto"/>
                    <w:rPr>
                      <w:rFonts w:ascii="Verdana" w:eastAsia="Times New Roman" w:hAnsi="Verdana" w:cstheme="minorHAnsi"/>
                      <w:sz w:val="18"/>
                      <w:szCs w:val="18"/>
                      <w:lang w:eastAsia="es-CL"/>
                    </w:rPr>
                  </w:pPr>
                  <w:r w:rsidRPr="0059613C">
                    <w:rPr>
                      <w:rFonts w:ascii="Verdana" w:eastAsia="Times New Roman" w:hAnsi="Verdana" w:cstheme="minorHAnsi"/>
                      <w:sz w:val="18"/>
                      <w:szCs w:val="18"/>
                      <w:lang w:eastAsia="es-CL"/>
                    </w:rPr>
                    <w:t>O'Higgins</w:t>
                  </w:r>
                </w:p>
              </w:tc>
              <w:tc>
                <w:tcPr>
                  <w:tcW w:w="1443" w:type="dxa"/>
                  <w:tcBorders>
                    <w:top w:val="nil"/>
                    <w:left w:val="nil"/>
                    <w:bottom w:val="single" w:sz="4" w:space="0" w:color="auto"/>
                    <w:right w:val="single" w:sz="4" w:space="0" w:color="auto"/>
                  </w:tcBorders>
                  <w:shd w:val="clear" w:color="auto" w:fill="auto"/>
                  <w:vAlign w:val="center"/>
                  <w:hideMark/>
                </w:tcPr>
                <w:p w14:paraId="108F556A" w14:textId="77777777" w:rsidR="008230E7" w:rsidRPr="0059613C" w:rsidRDefault="008230E7" w:rsidP="0059613C">
                  <w:pPr>
                    <w:spacing w:after="0" w:line="240" w:lineRule="auto"/>
                    <w:jc w:val="center"/>
                    <w:rPr>
                      <w:rFonts w:ascii="Verdana" w:eastAsia="Times New Roman" w:hAnsi="Verdana" w:cstheme="minorHAnsi"/>
                      <w:sz w:val="18"/>
                      <w:szCs w:val="18"/>
                      <w:lang w:eastAsia="es-CL"/>
                    </w:rPr>
                  </w:pPr>
                  <w:r w:rsidRPr="0059613C">
                    <w:rPr>
                      <w:rFonts w:ascii="Verdana" w:eastAsia="Times New Roman" w:hAnsi="Verdana" w:cstheme="minorHAnsi"/>
                      <w:sz w:val="18"/>
                      <w:szCs w:val="18"/>
                      <w:lang w:eastAsia="es-CL"/>
                    </w:rPr>
                    <w:t>77</w:t>
                  </w:r>
                </w:p>
              </w:tc>
              <w:tc>
                <w:tcPr>
                  <w:tcW w:w="2399" w:type="dxa"/>
                  <w:tcBorders>
                    <w:top w:val="nil"/>
                    <w:left w:val="nil"/>
                    <w:bottom w:val="single" w:sz="4" w:space="0" w:color="auto"/>
                    <w:right w:val="single" w:sz="4" w:space="0" w:color="auto"/>
                  </w:tcBorders>
                  <w:shd w:val="clear" w:color="auto" w:fill="auto"/>
                  <w:noWrap/>
                  <w:vAlign w:val="center"/>
                  <w:hideMark/>
                </w:tcPr>
                <w:p w14:paraId="65CC721C" w14:textId="77777777" w:rsidR="008230E7" w:rsidRPr="0059613C" w:rsidRDefault="008230E7" w:rsidP="0059613C">
                  <w:pPr>
                    <w:spacing w:after="0" w:line="240" w:lineRule="auto"/>
                    <w:jc w:val="right"/>
                    <w:rPr>
                      <w:rFonts w:ascii="Verdana" w:eastAsia="Times New Roman" w:hAnsi="Verdana" w:cstheme="minorHAnsi"/>
                      <w:color w:val="000000"/>
                      <w:sz w:val="18"/>
                      <w:szCs w:val="18"/>
                      <w:lang w:eastAsia="es-CL"/>
                    </w:rPr>
                  </w:pPr>
                  <w:r w:rsidRPr="0059613C">
                    <w:rPr>
                      <w:rFonts w:ascii="Verdana" w:eastAsia="Times New Roman" w:hAnsi="Verdana" w:cstheme="minorHAnsi"/>
                      <w:color w:val="000000"/>
                      <w:sz w:val="18"/>
                      <w:szCs w:val="18"/>
                      <w:lang w:eastAsia="es-CL"/>
                    </w:rPr>
                    <w:t>360.300.000</w:t>
                  </w:r>
                </w:p>
              </w:tc>
              <w:tc>
                <w:tcPr>
                  <w:tcW w:w="2420" w:type="dxa"/>
                  <w:tcBorders>
                    <w:top w:val="nil"/>
                    <w:left w:val="nil"/>
                    <w:bottom w:val="single" w:sz="4" w:space="0" w:color="auto"/>
                    <w:right w:val="single" w:sz="4" w:space="0" w:color="auto"/>
                  </w:tcBorders>
                  <w:shd w:val="clear" w:color="auto" w:fill="auto"/>
                  <w:noWrap/>
                  <w:vAlign w:val="center"/>
                  <w:hideMark/>
                </w:tcPr>
                <w:p w14:paraId="6F429B9F" w14:textId="77777777" w:rsidR="008230E7" w:rsidRPr="0059613C" w:rsidRDefault="008230E7" w:rsidP="0059613C">
                  <w:pPr>
                    <w:spacing w:after="0" w:line="240" w:lineRule="auto"/>
                    <w:jc w:val="right"/>
                    <w:rPr>
                      <w:rFonts w:ascii="Verdana" w:eastAsia="Times New Roman" w:hAnsi="Verdana" w:cstheme="minorHAnsi"/>
                      <w:color w:val="000000"/>
                      <w:sz w:val="18"/>
                      <w:szCs w:val="18"/>
                      <w:lang w:eastAsia="es-CL"/>
                    </w:rPr>
                  </w:pPr>
                  <w:r w:rsidRPr="0059613C">
                    <w:rPr>
                      <w:rFonts w:ascii="Verdana" w:eastAsia="Times New Roman" w:hAnsi="Verdana" w:cstheme="minorHAnsi"/>
                      <w:color w:val="000000"/>
                      <w:sz w:val="18"/>
                      <w:szCs w:val="18"/>
                      <w:lang w:eastAsia="es-CL"/>
                    </w:rPr>
                    <w:t>1.868</w:t>
                  </w:r>
                </w:p>
              </w:tc>
            </w:tr>
            <w:tr w:rsidR="008230E7" w:rsidRPr="008230E7" w14:paraId="1772CC14" w14:textId="77777777" w:rsidTr="0059613C">
              <w:trPr>
                <w:trHeight w:val="315"/>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1B741158" w14:textId="77777777" w:rsidR="008230E7" w:rsidRPr="0059613C" w:rsidRDefault="008230E7" w:rsidP="0059613C">
                  <w:pPr>
                    <w:spacing w:after="0" w:line="240" w:lineRule="auto"/>
                    <w:rPr>
                      <w:rFonts w:ascii="Verdana" w:eastAsia="Times New Roman" w:hAnsi="Verdana" w:cstheme="minorHAnsi"/>
                      <w:sz w:val="18"/>
                      <w:szCs w:val="18"/>
                      <w:lang w:eastAsia="es-CL"/>
                    </w:rPr>
                  </w:pPr>
                  <w:r w:rsidRPr="0059613C">
                    <w:rPr>
                      <w:rFonts w:ascii="Verdana" w:eastAsia="Times New Roman" w:hAnsi="Verdana" w:cstheme="minorHAnsi"/>
                      <w:sz w:val="18"/>
                      <w:szCs w:val="18"/>
                      <w:lang w:eastAsia="es-CL"/>
                    </w:rPr>
                    <w:t>Maule</w:t>
                  </w:r>
                </w:p>
              </w:tc>
              <w:tc>
                <w:tcPr>
                  <w:tcW w:w="1443" w:type="dxa"/>
                  <w:tcBorders>
                    <w:top w:val="nil"/>
                    <w:left w:val="nil"/>
                    <w:bottom w:val="single" w:sz="4" w:space="0" w:color="auto"/>
                    <w:right w:val="single" w:sz="4" w:space="0" w:color="auto"/>
                  </w:tcBorders>
                  <w:shd w:val="clear" w:color="auto" w:fill="auto"/>
                  <w:vAlign w:val="center"/>
                  <w:hideMark/>
                </w:tcPr>
                <w:p w14:paraId="4ECA2772" w14:textId="77777777" w:rsidR="008230E7" w:rsidRPr="0059613C" w:rsidRDefault="008230E7" w:rsidP="0059613C">
                  <w:pPr>
                    <w:spacing w:after="0" w:line="240" w:lineRule="auto"/>
                    <w:jc w:val="center"/>
                    <w:rPr>
                      <w:rFonts w:ascii="Verdana" w:eastAsia="Times New Roman" w:hAnsi="Verdana" w:cstheme="minorHAnsi"/>
                      <w:sz w:val="18"/>
                      <w:szCs w:val="18"/>
                      <w:lang w:eastAsia="es-CL"/>
                    </w:rPr>
                  </w:pPr>
                  <w:r w:rsidRPr="0059613C">
                    <w:rPr>
                      <w:rFonts w:ascii="Verdana" w:eastAsia="Times New Roman" w:hAnsi="Verdana" w:cstheme="minorHAnsi"/>
                      <w:sz w:val="18"/>
                      <w:szCs w:val="18"/>
                      <w:lang w:eastAsia="es-CL"/>
                    </w:rPr>
                    <w:t>265</w:t>
                  </w:r>
                </w:p>
              </w:tc>
              <w:tc>
                <w:tcPr>
                  <w:tcW w:w="2399" w:type="dxa"/>
                  <w:tcBorders>
                    <w:top w:val="nil"/>
                    <w:left w:val="nil"/>
                    <w:bottom w:val="single" w:sz="4" w:space="0" w:color="auto"/>
                    <w:right w:val="single" w:sz="4" w:space="0" w:color="auto"/>
                  </w:tcBorders>
                  <w:shd w:val="clear" w:color="auto" w:fill="auto"/>
                  <w:noWrap/>
                  <w:vAlign w:val="center"/>
                  <w:hideMark/>
                </w:tcPr>
                <w:p w14:paraId="3C582F62" w14:textId="77777777" w:rsidR="008230E7" w:rsidRPr="0059613C" w:rsidRDefault="008230E7" w:rsidP="0059613C">
                  <w:pPr>
                    <w:spacing w:after="0" w:line="240" w:lineRule="auto"/>
                    <w:jc w:val="right"/>
                    <w:rPr>
                      <w:rFonts w:ascii="Verdana" w:eastAsia="Times New Roman" w:hAnsi="Verdana" w:cstheme="minorHAnsi"/>
                      <w:color w:val="000000"/>
                      <w:sz w:val="18"/>
                      <w:szCs w:val="18"/>
                      <w:lang w:eastAsia="es-CL"/>
                    </w:rPr>
                  </w:pPr>
                  <w:r w:rsidRPr="0059613C">
                    <w:rPr>
                      <w:rFonts w:ascii="Verdana" w:eastAsia="Times New Roman" w:hAnsi="Verdana" w:cstheme="minorHAnsi"/>
                      <w:color w:val="000000"/>
                      <w:sz w:val="18"/>
                      <w:szCs w:val="18"/>
                      <w:lang w:eastAsia="es-CL"/>
                    </w:rPr>
                    <w:t>1.194.325.562</w:t>
                  </w:r>
                </w:p>
              </w:tc>
              <w:tc>
                <w:tcPr>
                  <w:tcW w:w="2420" w:type="dxa"/>
                  <w:tcBorders>
                    <w:top w:val="nil"/>
                    <w:left w:val="nil"/>
                    <w:bottom w:val="single" w:sz="4" w:space="0" w:color="auto"/>
                    <w:right w:val="single" w:sz="4" w:space="0" w:color="auto"/>
                  </w:tcBorders>
                  <w:shd w:val="clear" w:color="auto" w:fill="auto"/>
                  <w:noWrap/>
                  <w:vAlign w:val="center"/>
                  <w:hideMark/>
                </w:tcPr>
                <w:p w14:paraId="1E1E9CD1" w14:textId="77777777" w:rsidR="008230E7" w:rsidRPr="0059613C" w:rsidRDefault="008230E7" w:rsidP="0059613C">
                  <w:pPr>
                    <w:spacing w:after="0" w:line="240" w:lineRule="auto"/>
                    <w:jc w:val="right"/>
                    <w:rPr>
                      <w:rFonts w:ascii="Verdana" w:eastAsia="Times New Roman" w:hAnsi="Verdana" w:cstheme="minorHAnsi"/>
                      <w:color w:val="000000"/>
                      <w:sz w:val="18"/>
                      <w:szCs w:val="18"/>
                      <w:lang w:eastAsia="es-CL"/>
                    </w:rPr>
                  </w:pPr>
                  <w:r w:rsidRPr="0059613C">
                    <w:rPr>
                      <w:rFonts w:ascii="Verdana" w:eastAsia="Times New Roman" w:hAnsi="Verdana" w:cstheme="minorHAnsi"/>
                      <w:color w:val="000000"/>
                      <w:sz w:val="18"/>
                      <w:szCs w:val="18"/>
                      <w:lang w:eastAsia="es-CL"/>
                    </w:rPr>
                    <w:t>8.357</w:t>
                  </w:r>
                </w:p>
              </w:tc>
            </w:tr>
            <w:tr w:rsidR="008230E7" w:rsidRPr="008230E7" w14:paraId="3608E00E" w14:textId="77777777" w:rsidTr="0059613C">
              <w:trPr>
                <w:trHeight w:val="315"/>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2A0BE00D" w14:textId="77777777" w:rsidR="008230E7" w:rsidRPr="0059613C" w:rsidRDefault="008230E7" w:rsidP="0059613C">
                  <w:pPr>
                    <w:spacing w:after="0" w:line="240" w:lineRule="auto"/>
                    <w:rPr>
                      <w:rFonts w:ascii="Verdana" w:eastAsia="Times New Roman" w:hAnsi="Verdana" w:cstheme="minorHAnsi"/>
                      <w:sz w:val="18"/>
                      <w:szCs w:val="18"/>
                      <w:lang w:eastAsia="es-CL"/>
                    </w:rPr>
                  </w:pPr>
                  <w:r w:rsidRPr="0059613C">
                    <w:rPr>
                      <w:rFonts w:ascii="Verdana" w:eastAsia="Times New Roman" w:hAnsi="Verdana" w:cstheme="minorHAnsi"/>
                      <w:sz w:val="18"/>
                      <w:szCs w:val="18"/>
                      <w:lang w:eastAsia="es-CL"/>
                    </w:rPr>
                    <w:t>Ñuble</w:t>
                  </w:r>
                </w:p>
              </w:tc>
              <w:tc>
                <w:tcPr>
                  <w:tcW w:w="1443" w:type="dxa"/>
                  <w:tcBorders>
                    <w:top w:val="nil"/>
                    <w:left w:val="nil"/>
                    <w:bottom w:val="single" w:sz="4" w:space="0" w:color="auto"/>
                    <w:right w:val="single" w:sz="4" w:space="0" w:color="auto"/>
                  </w:tcBorders>
                  <w:shd w:val="clear" w:color="auto" w:fill="auto"/>
                  <w:vAlign w:val="center"/>
                  <w:hideMark/>
                </w:tcPr>
                <w:p w14:paraId="249F22D3" w14:textId="77777777" w:rsidR="008230E7" w:rsidRPr="0059613C" w:rsidRDefault="008230E7" w:rsidP="0059613C">
                  <w:pPr>
                    <w:spacing w:after="0" w:line="240" w:lineRule="auto"/>
                    <w:jc w:val="center"/>
                    <w:rPr>
                      <w:rFonts w:ascii="Verdana" w:eastAsia="Times New Roman" w:hAnsi="Verdana" w:cstheme="minorHAnsi"/>
                      <w:sz w:val="18"/>
                      <w:szCs w:val="18"/>
                      <w:lang w:eastAsia="es-CL"/>
                    </w:rPr>
                  </w:pPr>
                  <w:r w:rsidRPr="0059613C">
                    <w:rPr>
                      <w:rFonts w:ascii="Verdana" w:eastAsia="Times New Roman" w:hAnsi="Verdana" w:cstheme="minorHAnsi"/>
                      <w:sz w:val="18"/>
                      <w:szCs w:val="18"/>
                      <w:lang w:eastAsia="es-CL"/>
                    </w:rPr>
                    <w:t>83</w:t>
                  </w:r>
                </w:p>
              </w:tc>
              <w:tc>
                <w:tcPr>
                  <w:tcW w:w="2399" w:type="dxa"/>
                  <w:tcBorders>
                    <w:top w:val="nil"/>
                    <w:left w:val="nil"/>
                    <w:bottom w:val="single" w:sz="4" w:space="0" w:color="auto"/>
                    <w:right w:val="single" w:sz="4" w:space="0" w:color="auto"/>
                  </w:tcBorders>
                  <w:shd w:val="clear" w:color="auto" w:fill="auto"/>
                  <w:noWrap/>
                  <w:vAlign w:val="center"/>
                  <w:hideMark/>
                </w:tcPr>
                <w:p w14:paraId="0807B2CD" w14:textId="77777777" w:rsidR="008230E7" w:rsidRPr="0059613C" w:rsidRDefault="008230E7" w:rsidP="0059613C">
                  <w:pPr>
                    <w:spacing w:after="0" w:line="240" w:lineRule="auto"/>
                    <w:jc w:val="right"/>
                    <w:rPr>
                      <w:rFonts w:ascii="Verdana" w:eastAsia="Times New Roman" w:hAnsi="Verdana" w:cstheme="minorHAnsi"/>
                      <w:color w:val="000000"/>
                      <w:sz w:val="18"/>
                      <w:szCs w:val="18"/>
                      <w:lang w:eastAsia="es-CL"/>
                    </w:rPr>
                  </w:pPr>
                  <w:r w:rsidRPr="0059613C">
                    <w:rPr>
                      <w:rFonts w:ascii="Verdana" w:eastAsia="Times New Roman" w:hAnsi="Verdana" w:cstheme="minorHAnsi"/>
                      <w:color w:val="000000"/>
                      <w:sz w:val="18"/>
                      <w:szCs w:val="18"/>
                      <w:lang w:eastAsia="es-CL"/>
                    </w:rPr>
                    <w:t>334.558.939</w:t>
                  </w:r>
                </w:p>
              </w:tc>
              <w:tc>
                <w:tcPr>
                  <w:tcW w:w="2420" w:type="dxa"/>
                  <w:tcBorders>
                    <w:top w:val="nil"/>
                    <w:left w:val="nil"/>
                    <w:bottom w:val="single" w:sz="4" w:space="0" w:color="auto"/>
                    <w:right w:val="single" w:sz="4" w:space="0" w:color="auto"/>
                  </w:tcBorders>
                  <w:shd w:val="clear" w:color="auto" w:fill="auto"/>
                  <w:noWrap/>
                  <w:vAlign w:val="center"/>
                  <w:hideMark/>
                </w:tcPr>
                <w:p w14:paraId="2A631427" w14:textId="77777777" w:rsidR="008230E7" w:rsidRPr="0059613C" w:rsidRDefault="008230E7" w:rsidP="0059613C">
                  <w:pPr>
                    <w:spacing w:after="0" w:line="240" w:lineRule="auto"/>
                    <w:jc w:val="right"/>
                    <w:rPr>
                      <w:rFonts w:ascii="Verdana" w:eastAsia="Times New Roman" w:hAnsi="Verdana" w:cstheme="minorHAnsi"/>
                      <w:color w:val="000000"/>
                      <w:sz w:val="18"/>
                      <w:szCs w:val="18"/>
                      <w:lang w:eastAsia="es-CL"/>
                    </w:rPr>
                  </w:pPr>
                  <w:r w:rsidRPr="0059613C">
                    <w:rPr>
                      <w:rFonts w:ascii="Verdana" w:eastAsia="Times New Roman" w:hAnsi="Verdana" w:cstheme="minorHAnsi"/>
                      <w:color w:val="000000"/>
                      <w:sz w:val="18"/>
                      <w:szCs w:val="18"/>
                      <w:lang w:eastAsia="es-CL"/>
                    </w:rPr>
                    <w:t>2.347</w:t>
                  </w:r>
                </w:p>
              </w:tc>
            </w:tr>
            <w:tr w:rsidR="008230E7" w:rsidRPr="008230E7" w14:paraId="52A2996B" w14:textId="77777777" w:rsidTr="0059613C">
              <w:trPr>
                <w:trHeight w:val="315"/>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0D88424B" w14:textId="77777777" w:rsidR="008230E7" w:rsidRPr="0059613C" w:rsidRDefault="008230E7" w:rsidP="0059613C">
                  <w:pPr>
                    <w:spacing w:after="0" w:line="240" w:lineRule="auto"/>
                    <w:rPr>
                      <w:rFonts w:ascii="Verdana" w:eastAsia="Times New Roman" w:hAnsi="Verdana" w:cstheme="minorHAnsi"/>
                      <w:sz w:val="18"/>
                      <w:szCs w:val="18"/>
                      <w:lang w:eastAsia="es-CL"/>
                    </w:rPr>
                  </w:pPr>
                  <w:r w:rsidRPr="0059613C">
                    <w:rPr>
                      <w:rFonts w:ascii="Verdana" w:eastAsia="Times New Roman" w:hAnsi="Verdana" w:cstheme="minorHAnsi"/>
                      <w:sz w:val="18"/>
                      <w:szCs w:val="18"/>
                      <w:lang w:eastAsia="es-CL"/>
                    </w:rPr>
                    <w:t>Biobío</w:t>
                  </w:r>
                </w:p>
              </w:tc>
              <w:tc>
                <w:tcPr>
                  <w:tcW w:w="1443" w:type="dxa"/>
                  <w:tcBorders>
                    <w:top w:val="nil"/>
                    <w:left w:val="nil"/>
                    <w:bottom w:val="single" w:sz="4" w:space="0" w:color="auto"/>
                    <w:right w:val="single" w:sz="4" w:space="0" w:color="auto"/>
                  </w:tcBorders>
                  <w:shd w:val="clear" w:color="auto" w:fill="auto"/>
                  <w:vAlign w:val="center"/>
                  <w:hideMark/>
                </w:tcPr>
                <w:p w14:paraId="3F63FC7B" w14:textId="77777777" w:rsidR="008230E7" w:rsidRPr="0059613C" w:rsidRDefault="008230E7" w:rsidP="0059613C">
                  <w:pPr>
                    <w:spacing w:after="0" w:line="240" w:lineRule="auto"/>
                    <w:jc w:val="center"/>
                    <w:rPr>
                      <w:rFonts w:ascii="Verdana" w:eastAsia="Times New Roman" w:hAnsi="Verdana" w:cstheme="minorHAnsi"/>
                      <w:sz w:val="18"/>
                      <w:szCs w:val="18"/>
                      <w:lang w:eastAsia="es-CL"/>
                    </w:rPr>
                  </w:pPr>
                  <w:r w:rsidRPr="0059613C">
                    <w:rPr>
                      <w:rFonts w:ascii="Verdana" w:eastAsia="Times New Roman" w:hAnsi="Verdana" w:cstheme="minorHAnsi"/>
                      <w:sz w:val="18"/>
                      <w:szCs w:val="18"/>
                      <w:lang w:eastAsia="es-CL"/>
                    </w:rPr>
                    <w:t>67</w:t>
                  </w:r>
                </w:p>
              </w:tc>
              <w:tc>
                <w:tcPr>
                  <w:tcW w:w="2399" w:type="dxa"/>
                  <w:tcBorders>
                    <w:top w:val="nil"/>
                    <w:left w:val="nil"/>
                    <w:bottom w:val="single" w:sz="4" w:space="0" w:color="auto"/>
                    <w:right w:val="single" w:sz="4" w:space="0" w:color="auto"/>
                  </w:tcBorders>
                  <w:shd w:val="clear" w:color="auto" w:fill="auto"/>
                  <w:noWrap/>
                  <w:vAlign w:val="center"/>
                  <w:hideMark/>
                </w:tcPr>
                <w:p w14:paraId="79D9CE3A" w14:textId="77777777" w:rsidR="008230E7" w:rsidRPr="0059613C" w:rsidRDefault="008230E7" w:rsidP="0059613C">
                  <w:pPr>
                    <w:spacing w:after="0" w:line="240" w:lineRule="auto"/>
                    <w:jc w:val="right"/>
                    <w:rPr>
                      <w:rFonts w:ascii="Verdana" w:eastAsia="Times New Roman" w:hAnsi="Verdana" w:cstheme="minorHAnsi"/>
                      <w:color w:val="000000"/>
                      <w:sz w:val="18"/>
                      <w:szCs w:val="18"/>
                      <w:lang w:eastAsia="es-CL"/>
                    </w:rPr>
                  </w:pPr>
                  <w:r w:rsidRPr="0059613C">
                    <w:rPr>
                      <w:rFonts w:ascii="Verdana" w:eastAsia="Times New Roman" w:hAnsi="Verdana" w:cstheme="minorHAnsi"/>
                      <w:color w:val="000000"/>
                      <w:sz w:val="18"/>
                      <w:szCs w:val="18"/>
                      <w:lang w:eastAsia="es-CL"/>
                    </w:rPr>
                    <w:t>322.133.619</w:t>
                  </w:r>
                </w:p>
              </w:tc>
              <w:tc>
                <w:tcPr>
                  <w:tcW w:w="2420" w:type="dxa"/>
                  <w:tcBorders>
                    <w:top w:val="nil"/>
                    <w:left w:val="nil"/>
                    <w:bottom w:val="single" w:sz="4" w:space="0" w:color="auto"/>
                    <w:right w:val="single" w:sz="4" w:space="0" w:color="auto"/>
                  </w:tcBorders>
                  <w:shd w:val="clear" w:color="auto" w:fill="auto"/>
                  <w:noWrap/>
                  <w:vAlign w:val="center"/>
                  <w:hideMark/>
                </w:tcPr>
                <w:p w14:paraId="33C97537" w14:textId="77777777" w:rsidR="008230E7" w:rsidRPr="0059613C" w:rsidRDefault="008230E7" w:rsidP="0059613C">
                  <w:pPr>
                    <w:spacing w:after="0" w:line="240" w:lineRule="auto"/>
                    <w:jc w:val="right"/>
                    <w:rPr>
                      <w:rFonts w:ascii="Verdana" w:eastAsia="Times New Roman" w:hAnsi="Verdana" w:cstheme="minorHAnsi"/>
                      <w:color w:val="000000"/>
                      <w:sz w:val="18"/>
                      <w:szCs w:val="18"/>
                      <w:lang w:eastAsia="es-CL"/>
                    </w:rPr>
                  </w:pPr>
                  <w:r w:rsidRPr="0059613C">
                    <w:rPr>
                      <w:rFonts w:ascii="Verdana" w:eastAsia="Times New Roman" w:hAnsi="Verdana" w:cstheme="minorHAnsi"/>
                      <w:color w:val="000000"/>
                      <w:sz w:val="18"/>
                      <w:szCs w:val="18"/>
                      <w:lang w:eastAsia="es-CL"/>
                    </w:rPr>
                    <w:t>2.677</w:t>
                  </w:r>
                </w:p>
              </w:tc>
            </w:tr>
            <w:tr w:rsidR="008230E7" w:rsidRPr="008230E7" w14:paraId="3A0BBEAC" w14:textId="77777777" w:rsidTr="0059613C">
              <w:trPr>
                <w:trHeight w:val="315"/>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42E480ED" w14:textId="77777777" w:rsidR="008230E7" w:rsidRPr="0059613C" w:rsidRDefault="008230E7" w:rsidP="0059613C">
                  <w:pPr>
                    <w:spacing w:after="0" w:line="240" w:lineRule="auto"/>
                    <w:rPr>
                      <w:rFonts w:ascii="Verdana" w:eastAsia="Times New Roman" w:hAnsi="Verdana" w:cstheme="minorHAnsi"/>
                      <w:sz w:val="18"/>
                      <w:szCs w:val="18"/>
                      <w:lang w:eastAsia="es-CL"/>
                    </w:rPr>
                  </w:pPr>
                  <w:r w:rsidRPr="0059613C">
                    <w:rPr>
                      <w:rFonts w:ascii="Verdana" w:eastAsia="Times New Roman" w:hAnsi="Verdana" w:cstheme="minorHAnsi"/>
                      <w:sz w:val="18"/>
                      <w:szCs w:val="18"/>
                      <w:lang w:eastAsia="es-CL"/>
                    </w:rPr>
                    <w:t>Araucanía</w:t>
                  </w:r>
                </w:p>
              </w:tc>
              <w:tc>
                <w:tcPr>
                  <w:tcW w:w="1443" w:type="dxa"/>
                  <w:tcBorders>
                    <w:top w:val="nil"/>
                    <w:left w:val="nil"/>
                    <w:bottom w:val="single" w:sz="4" w:space="0" w:color="auto"/>
                    <w:right w:val="single" w:sz="4" w:space="0" w:color="auto"/>
                  </w:tcBorders>
                  <w:shd w:val="clear" w:color="auto" w:fill="auto"/>
                  <w:vAlign w:val="center"/>
                  <w:hideMark/>
                </w:tcPr>
                <w:p w14:paraId="5332E2E2" w14:textId="77777777" w:rsidR="008230E7" w:rsidRPr="0059613C" w:rsidRDefault="008230E7" w:rsidP="0059613C">
                  <w:pPr>
                    <w:spacing w:after="0" w:line="240" w:lineRule="auto"/>
                    <w:jc w:val="center"/>
                    <w:rPr>
                      <w:rFonts w:ascii="Verdana" w:eastAsia="Times New Roman" w:hAnsi="Verdana" w:cstheme="minorHAnsi"/>
                      <w:sz w:val="18"/>
                      <w:szCs w:val="18"/>
                      <w:lang w:eastAsia="es-CL"/>
                    </w:rPr>
                  </w:pPr>
                  <w:r w:rsidRPr="0059613C">
                    <w:rPr>
                      <w:rFonts w:ascii="Verdana" w:eastAsia="Times New Roman" w:hAnsi="Verdana" w:cstheme="minorHAnsi"/>
                      <w:sz w:val="18"/>
                      <w:szCs w:val="18"/>
                      <w:lang w:eastAsia="es-CL"/>
                    </w:rPr>
                    <w:t>191</w:t>
                  </w:r>
                </w:p>
              </w:tc>
              <w:tc>
                <w:tcPr>
                  <w:tcW w:w="2399" w:type="dxa"/>
                  <w:tcBorders>
                    <w:top w:val="nil"/>
                    <w:left w:val="nil"/>
                    <w:bottom w:val="single" w:sz="4" w:space="0" w:color="auto"/>
                    <w:right w:val="single" w:sz="4" w:space="0" w:color="auto"/>
                  </w:tcBorders>
                  <w:shd w:val="clear" w:color="auto" w:fill="auto"/>
                  <w:noWrap/>
                  <w:vAlign w:val="center"/>
                  <w:hideMark/>
                </w:tcPr>
                <w:p w14:paraId="6236C952" w14:textId="77777777" w:rsidR="008230E7" w:rsidRPr="0059613C" w:rsidRDefault="008230E7" w:rsidP="0059613C">
                  <w:pPr>
                    <w:spacing w:after="0" w:line="240" w:lineRule="auto"/>
                    <w:jc w:val="right"/>
                    <w:rPr>
                      <w:rFonts w:ascii="Verdana" w:eastAsia="Times New Roman" w:hAnsi="Verdana" w:cstheme="minorHAnsi"/>
                      <w:color w:val="000000"/>
                      <w:sz w:val="18"/>
                      <w:szCs w:val="18"/>
                      <w:lang w:eastAsia="es-CL"/>
                    </w:rPr>
                  </w:pPr>
                  <w:r w:rsidRPr="0059613C">
                    <w:rPr>
                      <w:rFonts w:ascii="Verdana" w:eastAsia="Times New Roman" w:hAnsi="Verdana" w:cstheme="minorHAnsi"/>
                      <w:color w:val="000000"/>
                      <w:sz w:val="18"/>
                      <w:szCs w:val="18"/>
                      <w:lang w:eastAsia="es-CL"/>
                    </w:rPr>
                    <w:t>883.048.050</w:t>
                  </w:r>
                </w:p>
              </w:tc>
              <w:tc>
                <w:tcPr>
                  <w:tcW w:w="2420" w:type="dxa"/>
                  <w:tcBorders>
                    <w:top w:val="nil"/>
                    <w:left w:val="nil"/>
                    <w:bottom w:val="single" w:sz="4" w:space="0" w:color="auto"/>
                    <w:right w:val="single" w:sz="4" w:space="0" w:color="auto"/>
                  </w:tcBorders>
                  <w:shd w:val="clear" w:color="auto" w:fill="auto"/>
                  <w:noWrap/>
                  <w:vAlign w:val="center"/>
                  <w:hideMark/>
                </w:tcPr>
                <w:p w14:paraId="6AD64B18" w14:textId="77777777" w:rsidR="008230E7" w:rsidRPr="0059613C" w:rsidRDefault="008230E7" w:rsidP="0059613C">
                  <w:pPr>
                    <w:spacing w:after="0" w:line="240" w:lineRule="auto"/>
                    <w:jc w:val="right"/>
                    <w:rPr>
                      <w:rFonts w:ascii="Verdana" w:eastAsia="Times New Roman" w:hAnsi="Verdana" w:cstheme="minorHAnsi"/>
                      <w:color w:val="000000"/>
                      <w:sz w:val="18"/>
                      <w:szCs w:val="18"/>
                      <w:lang w:eastAsia="es-CL"/>
                    </w:rPr>
                  </w:pPr>
                  <w:r w:rsidRPr="0059613C">
                    <w:rPr>
                      <w:rFonts w:ascii="Verdana" w:eastAsia="Times New Roman" w:hAnsi="Verdana" w:cstheme="minorHAnsi"/>
                      <w:color w:val="000000"/>
                      <w:sz w:val="18"/>
                      <w:szCs w:val="18"/>
                      <w:lang w:eastAsia="es-CL"/>
                    </w:rPr>
                    <w:t>6.252</w:t>
                  </w:r>
                </w:p>
              </w:tc>
            </w:tr>
            <w:tr w:rsidR="008230E7" w:rsidRPr="008230E7" w14:paraId="167C998A" w14:textId="77777777" w:rsidTr="0059613C">
              <w:trPr>
                <w:trHeight w:val="315"/>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6F9E9623" w14:textId="77777777" w:rsidR="008230E7" w:rsidRPr="0059613C" w:rsidRDefault="008230E7" w:rsidP="0059613C">
                  <w:pPr>
                    <w:spacing w:after="0" w:line="240" w:lineRule="auto"/>
                    <w:rPr>
                      <w:rFonts w:ascii="Verdana" w:eastAsia="Times New Roman" w:hAnsi="Verdana" w:cstheme="minorHAnsi"/>
                      <w:sz w:val="18"/>
                      <w:szCs w:val="18"/>
                      <w:lang w:eastAsia="es-CL"/>
                    </w:rPr>
                  </w:pPr>
                  <w:r w:rsidRPr="0059613C">
                    <w:rPr>
                      <w:rFonts w:ascii="Verdana" w:eastAsia="Times New Roman" w:hAnsi="Verdana" w:cstheme="minorHAnsi"/>
                      <w:sz w:val="18"/>
                      <w:szCs w:val="18"/>
                      <w:lang w:eastAsia="es-CL"/>
                    </w:rPr>
                    <w:t>Los Ríos</w:t>
                  </w:r>
                </w:p>
              </w:tc>
              <w:tc>
                <w:tcPr>
                  <w:tcW w:w="1443" w:type="dxa"/>
                  <w:tcBorders>
                    <w:top w:val="nil"/>
                    <w:left w:val="nil"/>
                    <w:bottom w:val="single" w:sz="4" w:space="0" w:color="auto"/>
                    <w:right w:val="single" w:sz="4" w:space="0" w:color="auto"/>
                  </w:tcBorders>
                  <w:shd w:val="clear" w:color="auto" w:fill="auto"/>
                  <w:vAlign w:val="center"/>
                  <w:hideMark/>
                </w:tcPr>
                <w:p w14:paraId="31F2ABC3" w14:textId="77777777" w:rsidR="008230E7" w:rsidRPr="0059613C" w:rsidRDefault="008230E7" w:rsidP="0059613C">
                  <w:pPr>
                    <w:spacing w:after="0" w:line="240" w:lineRule="auto"/>
                    <w:jc w:val="center"/>
                    <w:rPr>
                      <w:rFonts w:ascii="Verdana" w:eastAsia="Times New Roman" w:hAnsi="Verdana" w:cstheme="minorHAnsi"/>
                      <w:sz w:val="18"/>
                      <w:szCs w:val="18"/>
                      <w:lang w:eastAsia="es-CL"/>
                    </w:rPr>
                  </w:pPr>
                  <w:r w:rsidRPr="0059613C">
                    <w:rPr>
                      <w:rFonts w:ascii="Verdana" w:eastAsia="Times New Roman" w:hAnsi="Verdana" w:cstheme="minorHAnsi"/>
                      <w:sz w:val="18"/>
                      <w:szCs w:val="18"/>
                      <w:lang w:eastAsia="es-CL"/>
                    </w:rPr>
                    <w:t>171</w:t>
                  </w:r>
                </w:p>
              </w:tc>
              <w:tc>
                <w:tcPr>
                  <w:tcW w:w="2399" w:type="dxa"/>
                  <w:tcBorders>
                    <w:top w:val="nil"/>
                    <w:left w:val="nil"/>
                    <w:bottom w:val="single" w:sz="4" w:space="0" w:color="auto"/>
                    <w:right w:val="single" w:sz="4" w:space="0" w:color="auto"/>
                  </w:tcBorders>
                  <w:shd w:val="clear" w:color="auto" w:fill="auto"/>
                  <w:noWrap/>
                  <w:vAlign w:val="center"/>
                  <w:hideMark/>
                </w:tcPr>
                <w:p w14:paraId="45B412CF" w14:textId="77777777" w:rsidR="008230E7" w:rsidRPr="0059613C" w:rsidRDefault="008230E7" w:rsidP="0059613C">
                  <w:pPr>
                    <w:spacing w:after="0" w:line="240" w:lineRule="auto"/>
                    <w:jc w:val="right"/>
                    <w:rPr>
                      <w:rFonts w:ascii="Verdana" w:eastAsia="Times New Roman" w:hAnsi="Verdana" w:cstheme="minorHAnsi"/>
                      <w:color w:val="000000"/>
                      <w:sz w:val="18"/>
                      <w:szCs w:val="18"/>
                      <w:lang w:eastAsia="es-CL"/>
                    </w:rPr>
                  </w:pPr>
                  <w:r w:rsidRPr="0059613C">
                    <w:rPr>
                      <w:rFonts w:ascii="Verdana" w:eastAsia="Times New Roman" w:hAnsi="Verdana" w:cstheme="minorHAnsi"/>
                      <w:color w:val="000000"/>
                      <w:sz w:val="18"/>
                      <w:szCs w:val="18"/>
                      <w:lang w:eastAsia="es-CL"/>
                    </w:rPr>
                    <w:t>748.218.914</w:t>
                  </w:r>
                </w:p>
              </w:tc>
              <w:tc>
                <w:tcPr>
                  <w:tcW w:w="2420" w:type="dxa"/>
                  <w:tcBorders>
                    <w:top w:val="nil"/>
                    <w:left w:val="nil"/>
                    <w:bottom w:val="single" w:sz="4" w:space="0" w:color="auto"/>
                    <w:right w:val="single" w:sz="4" w:space="0" w:color="auto"/>
                  </w:tcBorders>
                  <w:shd w:val="clear" w:color="auto" w:fill="auto"/>
                  <w:noWrap/>
                  <w:vAlign w:val="center"/>
                  <w:hideMark/>
                </w:tcPr>
                <w:p w14:paraId="2842672B" w14:textId="77777777" w:rsidR="008230E7" w:rsidRPr="0059613C" w:rsidRDefault="008230E7" w:rsidP="0059613C">
                  <w:pPr>
                    <w:spacing w:after="0" w:line="240" w:lineRule="auto"/>
                    <w:jc w:val="right"/>
                    <w:rPr>
                      <w:rFonts w:ascii="Verdana" w:eastAsia="Times New Roman" w:hAnsi="Verdana" w:cstheme="minorHAnsi"/>
                      <w:color w:val="000000"/>
                      <w:sz w:val="18"/>
                      <w:szCs w:val="18"/>
                      <w:lang w:eastAsia="es-CL"/>
                    </w:rPr>
                  </w:pPr>
                  <w:r w:rsidRPr="0059613C">
                    <w:rPr>
                      <w:rFonts w:ascii="Verdana" w:eastAsia="Times New Roman" w:hAnsi="Verdana" w:cstheme="minorHAnsi"/>
                      <w:color w:val="000000"/>
                      <w:sz w:val="18"/>
                      <w:szCs w:val="18"/>
                      <w:lang w:eastAsia="es-CL"/>
                    </w:rPr>
                    <w:t>5.350</w:t>
                  </w:r>
                </w:p>
              </w:tc>
            </w:tr>
            <w:tr w:rsidR="008230E7" w:rsidRPr="008230E7" w14:paraId="14D2A65D" w14:textId="77777777" w:rsidTr="0059613C">
              <w:trPr>
                <w:trHeight w:val="315"/>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451B1075" w14:textId="77777777" w:rsidR="008230E7" w:rsidRPr="0059613C" w:rsidRDefault="008230E7" w:rsidP="0059613C">
                  <w:pPr>
                    <w:spacing w:after="0" w:line="240" w:lineRule="auto"/>
                    <w:rPr>
                      <w:rFonts w:ascii="Verdana" w:eastAsia="Times New Roman" w:hAnsi="Verdana" w:cstheme="minorHAnsi"/>
                      <w:sz w:val="18"/>
                      <w:szCs w:val="18"/>
                      <w:lang w:eastAsia="es-CL"/>
                    </w:rPr>
                  </w:pPr>
                  <w:r w:rsidRPr="0059613C">
                    <w:rPr>
                      <w:rFonts w:ascii="Verdana" w:eastAsia="Times New Roman" w:hAnsi="Verdana" w:cstheme="minorHAnsi"/>
                      <w:sz w:val="18"/>
                      <w:szCs w:val="18"/>
                      <w:lang w:eastAsia="es-CL"/>
                    </w:rPr>
                    <w:t>Los Lagos</w:t>
                  </w:r>
                </w:p>
              </w:tc>
              <w:tc>
                <w:tcPr>
                  <w:tcW w:w="1443" w:type="dxa"/>
                  <w:tcBorders>
                    <w:top w:val="nil"/>
                    <w:left w:val="nil"/>
                    <w:bottom w:val="single" w:sz="4" w:space="0" w:color="auto"/>
                    <w:right w:val="single" w:sz="4" w:space="0" w:color="auto"/>
                  </w:tcBorders>
                  <w:shd w:val="clear" w:color="auto" w:fill="auto"/>
                  <w:vAlign w:val="center"/>
                  <w:hideMark/>
                </w:tcPr>
                <w:p w14:paraId="3A5343BA" w14:textId="77777777" w:rsidR="008230E7" w:rsidRPr="0059613C" w:rsidRDefault="008230E7" w:rsidP="0059613C">
                  <w:pPr>
                    <w:spacing w:after="0" w:line="240" w:lineRule="auto"/>
                    <w:jc w:val="center"/>
                    <w:rPr>
                      <w:rFonts w:ascii="Verdana" w:eastAsia="Times New Roman" w:hAnsi="Verdana" w:cstheme="minorHAnsi"/>
                      <w:sz w:val="18"/>
                      <w:szCs w:val="18"/>
                      <w:lang w:eastAsia="es-CL"/>
                    </w:rPr>
                  </w:pPr>
                  <w:r w:rsidRPr="0059613C">
                    <w:rPr>
                      <w:rFonts w:ascii="Verdana" w:eastAsia="Times New Roman" w:hAnsi="Verdana" w:cstheme="minorHAnsi"/>
                      <w:sz w:val="18"/>
                      <w:szCs w:val="18"/>
                      <w:lang w:eastAsia="es-CL"/>
                    </w:rPr>
                    <w:t>393</w:t>
                  </w:r>
                </w:p>
              </w:tc>
              <w:tc>
                <w:tcPr>
                  <w:tcW w:w="2399" w:type="dxa"/>
                  <w:tcBorders>
                    <w:top w:val="nil"/>
                    <w:left w:val="nil"/>
                    <w:bottom w:val="single" w:sz="4" w:space="0" w:color="auto"/>
                    <w:right w:val="single" w:sz="4" w:space="0" w:color="auto"/>
                  </w:tcBorders>
                  <w:shd w:val="clear" w:color="auto" w:fill="auto"/>
                  <w:noWrap/>
                  <w:vAlign w:val="center"/>
                  <w:hideMark/>
                </w:tcPr>
                <w:p w14:paraId="275A0DA4" w14:textId="77777777" w:rsidR="008230E7" w:rsidRPr="0059613C" w:rsidRDefault="008230E7" w:rsidP="0059613C">
                  <w:pPr>
                    <w:spacing w:after="0" w:line="240" w:lineRule="auto"/>
                    <w:jc w:val="right"/>
                    <w:rPr>
                      <w:rFonts w:ascii="Verdana" w:eastAsia="Times New Roman" w:hAnsi="Verdana" w:cstheme="minorHAnsi"/>
                      <w:color w:val="000000"/>
                      <w:sz w:val="18"/>
                      <w:szCs w:val="18"/>
                      <w:lang w:eastAsia="es-CL"/>
                    </w:rPr>
                  </w:pPr>
                  <w:r w:rsidRPr="0059613C">
                    <w:rPr>
                      <w:rFonts w:ascii="Verdana" w:eastAsia="Times New Roman" w:hAnsi="Verdana" w:cstheme="minorHAnsi"/>
                      <w:color w:val="000000"/>
                      <w:sz w:val="18"/>
                      <w:szCs w:val="18"/>
                      <w:lang w:eastAsia="es-CL"/>
                    </w:rPr>
                    <w:t>1.260.244.720</w:t>
                  </w:r>
                </w:p>
              </w:tc>
              <w:tc>
                <w:tcPr>
                  <w:tcW w:w="2420" w:type="dxa"/>
                  <w:tcBorders>
                    <w:top w:val="nil"/>
                    <w:left w:val="nil"/>
                    <w:bottom w:val="single" w:sz="4" w:space="0" w:color="auto"/>
                    <w:right w:val="single" w:sz="4" w:space="0" w:color="auto"/>
                  </w:tcBorders>
                  <w:shd w:val="clear" w:color="auto" w:fill="auto"/>
                  <w:noWrap/>
                  <w:vAlign w:val="center"/>
                  <w:hideMark/>
                </w:tcPr>
                <w:p w14:paraId="44CA029A" w14:textId="77777777" w:rsidR="008230E7" w:rsidRPr="0059613C" w:rsidRDefault="008230E7" w:rsidP="0059613C">
                  <w:pPr>
                    <w:spacing w:after="0" w:line="240" w:lineRule="auto"/>
                    <w:jc w:val="right"/>
                    <w:rPr>
                      <w:rFonts w:ascii="Verdana" w:eastAsia="Times New Roman" w:hAnsi="Verdana" w:cstheme="minorHAnsi"/>
                      <w:color w:val="000000"/>
                      <w:sz w:val="18"/>
                      <w:szCs w:val="18"/>
                      <w:lang w:eastAsia="es-CL"/>
                    </w:rPr>
                  </w:pPr>
                  <w:r w:rsidRPr="0059613C">
                    <w:rPr>
                      <w:rFonts w:ascii="Verdana" w:eastAsia="Times New Roman" w:hAnsi="Verdana" w:cstheme="minorHAnsi"/>
                      <w:color w:val="000000"/>
                      <w:sz w:val="18"/>
                      <w:szCs w:val="18"/>
                      <w:lang w:eastAsia="es-CL"/>
                    </w:rPr>
                    <w:t>9.419</w:t>
                  </w:r>
                </w:p>
              </w:tc>
            </w:tr>
            <w:tr w:rsidR="008230E7" w:rsidRPr="008230E7" w14:paraId="682CC2A5" w14:textId="77777777" w:rsidTr="0059613C">
              <w:trPr>
                <w:trHeight w:val="315"/>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7044FE25" w14:textId="77777777" w:rsidR="008230E7" w:rsidRPr="0059613C" w:rsidRDefault="008230E7" w:rsidP="0059613C">
                  <w:pPr>
                    <w:spacing w:after="0" w:line="240" w:lineRule="auto"/>
                    <w:rPr>
                      <w:rFonts w:ascii="Verdana" w:eastAsia="Times New Roman" w:hAnsi="Verdana" w:cstheme="minorHAnsi"/>
                      <w:sz w:val="18"/>
                      <w:szCs w:val="18"/>
                      <w:lang w:eastAsia="es-CL"/>
                    </w:rPr>
                  </w:pPr>
                  <w:r w:rsidRPr="0059613C">
                    <w:rPr>
                      <w:rFonts w:ascii="Verdana" w:eastAsia="Times New Roman" w:hAnsi="Verdana" w:cstheme="minorHAnsi"/>
                      <w:sz w:val="18"/>
                      <w:szCs w:val="18"/>
                      <w:lang w:eastAsia="es-CL"/>
                    </w:rPr>
                    <w:t>Aysén</w:t>
                  </w:r>
                </w:p>
              </w:tc>
              <w:tc>
                <w:tcPr>
                  <w:tcW w:w="1443" w:type="dxa"/>
                  <w:tcBorders>
                    <w:top w:val="nil"/>
                    <w:left w:val="nil"/>
                    <w:bottom w:val="nil"/>
                    <w:right w:val="nil"/>
                  </w:tcBorders>
                  <w:shd w:val="clear" w:color="auto" w:fill="auto"/>
                  <w:noWrap/>
                  <w:vAlign w:val="center"/>
                  <w:hideMark/>
                </w:tcPr>
                <w:p w14:paraId="21D6D2C5" w14:textId="77777777" w:rsidR="008230E7" w:rsidRPr="0059613C" w:rsidRDefault="008230E7" w:rsidP="0059613C">
                  <w:pPr>
                    <w:spacing w:after="0" w:line="240" w:lineRule="auto"/>
                    <w:jc w:val="center"/>
                    <w:rPr>
                      <w:rFonts w:ascii="Verdana" w:eastAsia="Times New Roman" w:hAnsi="Verdana" w:cstheme="minorHAnsi"/>
                      <w:sz w:val="18"/>
                      <w:szCs w:val="18"/>
                      <w:lang w:eastAsia="es-CL"/>
                    </w:rPr>
                  </w:pPr>
                  <w:r w:rsidRPr="0059613C">
                    <w:rPr>
                      <w:rFonts w:ascii="Verdana" w:eastAsia="Times New Roman" w:hAnsi="Verdana" w:cstheme="minorHAnsi"/>
                      <w:sz w:val="18"/>
                      <w:szCs w:val="18"/>
                      <w:lang w:eastAsia="es-CL"/>
                    </w:rPr>
                    <w:t>107</w:t>
                  </w:r>
                </w:p>
              </w:tc>
              <w:tc>
                <w:tcPr>
                  <w:tcW w:w="2399" w:type="dxa"/>
                  <w:tcBorders>
                    <w:top w:val="nil"/>
                    <w:left w:val="single" w:sz="4" w:space="0" w:color="auto"/>
                    <w:bottom w:val="single" w:sz="4" w:space="0" w:color="auto"/>
                    <w:right w:val="single" w:sz="4" w:space="0" w:color="auto"/>
                  </w:tcBorders>
                  <w:shd w:val="clear" w:color="auto" w:fill="auto"/>
                  <w:noWrap/>
                  <w:vAlign w:val="center"/>
                  <w:hideMark/>
                </w:tcPr>
                <w:p w14:paraId="496096D3" w14:textId="77777777" w:rsidR="008230E7" w:rsidRPr="0059613C" w:rsidRDefault="008230E7" w:rsidP="0059613C">
                  <w:pPr>
                    <w:spacing w:after="0" w:line="240" w:lineRule="auto"/>
                    <w:jc w:val="right"/>
                    <w:rPr>
                      <w:rFonts w:ascii="Verdana" w:eastAsia="Times New Roman" w:hAnsi="Verdana" w:cstheme="minorHAnsi"/>
                      <w:color w:val="000000"/>
                      <w:sz w:val="18"/>
                      <w:szCs w:val="18"/>
                      <w:lang w:eastAsia="es-CL"/>
                    </w:rPr>
                  </w:pPr>
                  <w:r w:rsidRPr="0059613C">
                    <w:rPr>
                      <w:rFonts w:ascii="Verdana" w:eastAsia="Times New Roman" w:hAnsi="Verdana" w:cstheme="minorHAnsi"/>
                      <w:color w:val="000000"/>
                      <w:sz w:val="18"/>
                      <w:szCs w:val="18"/>
                      <w:lang w:eastAsia="es-CL"/>
                    </w:rPr>
                    <w:t>543.233.570</w:t>
                  </w:r>
                </w:p>
              </w:tc>
              <w:tc>
                <w:tcPr>
                  <w:tcW w:w="2420" w:type="dxa"/>
                  <w:tcBorders>
                    <w:top w:val="nil"/>
                    <w:left w:val="nil"/>
                    <w:bottom w:val="single" w:sz="4" w:space="0" w:color="auto"/>
                    <w:right w:val="single" w:sz="4" w:space="0" w:color="auto"/>
                  </w:tcBorders>
                  <w:shd w:val="clear" w:color="auto" w:fill="auto"/>
                  <w:noWrap/>
                  <w:vAlign w:val="center"/>
                  <w:hideMark/>
                </w:tcPr>
                <w:p w14:paraId="1986EC87" w14:textId="77777777" w:rsidR="008230E7" w:rsidRPr="0059613C" w:rsidRDefault="008230E7" w:rsidP="0059613C">
                  <w:pPr>
                    <w:spacing w:after="0" w:line="240" w:lineRule="auto"/>
                    <w:jc w:val="right"/>
                    <w:rPr>
                      <w:rFonts w:ascii="Verdana" w:eastAsia="Times New Roman" w:hAnsi="Verdana" w:cstheme="minorHAnsi"/>
                      <w:color w:val="000000"/>
                      <w:sz w:val="18"/>
                      <w:szCs w:val="18"/>
                      <w:lang w:eastAsia="es-CL"/>
                    </w:rPr>
                  </w:pPr>
                  <w:r w:rsidRPr="0059613C">
                    <w:rPr>
                      <w:rFonts w:ascii="Verdana" w:eastAsia="Times New Roman" w:hAnsi="Verdana" w:cstheme="minorHAnsi"/>
                      <w:color w:val="000000"/>
                      <w:sz w:val="18"/>
                      <w:szCs w:val="18"/>
                      <w:lang w:eastAsia="es-CL"/>
                    </w:rPr>
                    <w:t>2.559</w:t>
                  </w:r>
                </w:p>
              </w:tc>
            </w:tr>
            <w:tr w:rsidR="008230E7" w:rsidRPr="008230E7" w14:paraId="57F5A602" w14:textId="77777777" w:rsidTr="0059613C">
              <w:trPr>
                <w:trHeight w:val="315"/>
              </w:trPr>
              <w:tc>
                <w:tcPr>
                  <w:tcW w:w="2260" w:type="dxa"/>
                  <w:tcBorders>
                    <w:top w:val="nil"/>
                    <w:left w:val="single" w:sz="4" w:space="0" w:color="auto"/>
                    <w:bottom w:val="nil"/>
                    <w:right w:val="single" w:sz="4" w:space="0" w:color="auto"/>
                  </w:tcBorders>
                  <w:shd w:val="clear" w:color="000000" w:fill="FFFFFF"/>
                  <w:noWrap/>
                  <w:vAlign w:val="center"/>
                  <w:hideMark/>
                </w:tcPr>
                <w:p w14:paraId="18341859" w14:textId="77777777" w:rsidR="008230E7" w:rsidRPr="0059613C" w:rsidRDefault="008230E7" w:rsidP="0059613C">
                  <w:pPr>
                    <w:spacing w:after="0" w:line="240" w:lineRule="auto"/>
                    <w:rPr>
                      <w:rFonts w:ascii="Verdana" w:eastAsia="Times New Roman" w:hAnsi="Verdana" w:cstheme="minorHAnsi"/>
                      <w:sz w:val="18"/>
                      <w:szCs w:val="18"/>
                      <w:lang w:eastAsia="es-CL"/>
                    </w:rPr>
                  </w:pPr>
                  <w:r w:rsidRPr="0059613C">
                    <w:rPr>
                      <w:rFonts w:ascii="Verdana" w:eastAsia="Times New Roman" w:hAnsi="Verdana" w:cstheme="minorHAnsi"/>
                      <w:sz w:val="18"/>
                      <w:szCs w:val="18"/>
                      <w:lang w:eastAsia="es-CL"/>
                    </w:rPr>
                    <w:t>Magallanes</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14:paraId="2196D118" w14:textId="77777777" w:rsidR="008230E7" w:rsidRPr="0059613C" w:rsidRDefault="008230E7" w:rsidP="0059613C">
                  <w:pPr>
                    <w:spacing w:after="0" w:line="240" w:lineRule="auto"/>
                    <w:jc w:val="center"/>
                    <w:rPr>
                      <w:rFonts w:ascii="Verdana" w:eastAsia="Times New Roman" w:hAnsi="Verdana" w:cstheme="minorHAnsi"/>
                      <w:sz w:val="18"/>
                      <w:szCs w:val="18"/>
                      <w:lang w:eastAsia="es-CL"/>
                    </w:rPr>
                  </w:pPr>
                  <w:r w:rsidRPr="0059613C">
                    <w:rPr>
                      <w:rFonts w:ascii="Verdana" w:eastAsia="Times New Roman" w:hAnsi="Verdana" w:cstheme="minorHAnsi"/>
                      <w:sz w:val="18"/>
                      <w:szCs w:val="18"/>
                      <w:lang w:eastAsia="es-CL"/>
                    </w:rPr>
                    <w:t>68</w:t>
                  </w:r>
                </w:p>
              </w:tc>
              <w:tc>
                <w:tcPr>
                  <w:tcW w:w="2399" w:type="dxa"/>
                  <w:tcBorders>
                    <w:top w:val="nil"/>
                    <w:left w:val="nil"/>
                    <w:bottom w:val="single" w:sz="4" w:space="0" w:color="auto"/>
                    <w:right w:val="single" w:sz="4" w:space="0" w:color="auto"/>
                  </w:tcBorders>
                  <w:shd w:val="clear" w:color="auto" w:fill="auto"/>
                  <w:noWrap/>
                  <w:vAlign w:val="center"/>
                  <w:hideMark/>
                </w:tcPr>
                <w:p w14:paraId="31E0597D" w14:textId="77777777" w:rsidR="008230E7" w:rsidRPr="0059613C" w:rsidRDefault="008230E7" w:rsidP="0059613C">
                  <w:pPr>
                    <w:spacing w:after="0" w:line="240" w:lineRule="auto"/>
                    <w:jc w:val="right"/>
                    <w:rPr>
                      <w:rFonts w:ascii="Verdana" w:eastAsia="Times New Roman" w:hAnsi="Verdana" w:cstheme="minorHAnsi"/>
                      <w:color w:val="000000"/>
                      <w:sz w:val="18"/>
                      <w:szCs w:val="18"/>
                      <w:lang w:eastAsia="es-CL"/>
                    </w:rPr>
                  </w:pPr>
                  <w:r w:rsidRPr="0059613C">
                    <w:rPr>
                      <w:rFonts w:ascii="Verdana" w:eastAsia="Times New Roman" w:hAnsi="Verdana" w:cstheme="minorHAnsi"/>
                      <w:color w:val="000000"/>
                      <w:sz w:val="18"/>
                      <w:szCs w:val="18"/>
                      <w:lang w:eastAsia="es-CL"/>
                    </w:rPr>
                    <w:t>457.436.191</w:t>
                  </w:r>
                </w:p>
              </w:tc>
              <w:tc>
                <w:tcPr>
                  <w:tcW w:w="2420" w:type="dxa"/>
                  <w:tcBorders>
                    <w:top w:val="nil"/>
                    <w:left w:val="nil"/>
                    <w:bottom w:val="single" w:sz="4" w:space="0" w:color="auto"/>
                    <w:right w:val="single" w:sz="4" w:space="0" w:color="auto"/>
                  </w:tcBorders>
                  <w:shd w:val="clear" w:color="auto" w:fill="auto"/>
                  <w:noWrap/>
                  <w:vAlign w:val="center"/>
                  <w:hideMark/>
                </w:tcPr>
                <w:p w14:paraId="06D5ED1A" w14:textId="77777777" w:rsidR="008230E7" w:rsidRPr="0059613C" w:rsidRDefault="008230E7" w:rsidP="0059613C">
                  <w:pPr>
                    <w:spacing w:after="0" w:line="240" w:lineRule="auto"/>
                    <w:jc w:val="right"/>
                    <w:rPr>
                      <w:rFonts w:ascii="Verdana" w:eastAsia="Times New Roman" w:hAnsi="Verdana" w:cstheme="minorHAnsi"/>
                      <w:color w:val="000000"/>
                      <w:sz w:val="18"/>
                      <w:szCs w:val="18"/>
                      <w:lang w:eastAsia="es-CL"/>
                    </w:rPr>
                  </w:pPr>
                  <w:r w:rsidRPr="0059613C">
                    <w:rPr>
                      <w:rFonts w:ascii="Verdana" w:eastAsia="Times New Roman" w:hAnsi="Verdana" w:cstheme="minorHAnsi"/>
                      <w:color w:val="000000"/>
                      <w:sz w:val="18"/>
                      <w:szCs w:val="18"/>
                      <w:lang w:eastAsia="es-CL"/>
                    </w:rPr>
                    <w:t>13.689</w:t>
                  </w:r>
                </w:p>
              </w:tc>
            </w:tr>
            <w:tr w:rsidR="00EC3FD5" w:rsidRPr="008230E7" w14:paraId="1D5F6E5E" w14:textId="77777777" w:rsidTr="0059613C">
              <w:trPr>
                <w:trHeight w:val="300"/>
              </w:trPr>
              <w:tc>
                <w:tcPr>
                  <w:tcW w:w="226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05EE70F9" w14:textId="77777777" w:rsidR="008230E7" w:rsidRPr="0059613C" w:rsidRDefault="008230E7" w:rsidP="00EC3FD5">
                  <w:pPr>
                    <w:spacing w:after="0" w:line="240" w:lineRule="auto"/>
                    <w:jc w:val="center"/>
                    <w:rPr>
                      <w:rFonts w:ascii="Verdana" w:eastAsia="Times New Roman" w:hAnsi="Verdana" w:cstheme="minorHAnsi"/>
                      <w:b/>
                      <w:bCs/>
                      <w:color w:val="000000"/>
                      <w:sz w:val="18"/>
                      <w:szCs w:val="18"/>
                      <w:lang w:eastAsia="es-CL"/>
                    </w:rPr>
                  </w:pPr>
                  <w:r w:rsidRPr="0059613C">
                    <w:rPr>
                      <w:rFonts w:ascii="Verdana" w:eastAsia="Times New Roman" w:hAnsi="Verdana" w:cstheme="minorHAnsi"/>
                      <w:b/>
                      <w:bCs/>
                      <w:color w:val="000000"/>
                      <w:sz w:val="18"/>
                      <w:szCs w:val="18"/>
                      <w:lang w:eastAsia="es-CL"/>
                    </w:rPr>
                    <w:t xml:space="preserve"> Total </w:t>
                  </w:r>
                </w:p>
              </w:tc>
              <w:tc>
                <w:tcPr>
                  <w:tcW w:w="1443" w:type="dxa"/>
                  <w:tcBorders>
                    <w:top w:val="nil"/>
                    <w:left w:val="nil"/>
                    <w:bottom w:val="single" w:sz="4" w:space="0" w:color="auto"/>
                    <w:right w:val="single" w:sz="4" w:space="0" w:color="auto"/>
                  </w:tcBorders>
                  <w:shd w:val="clear" w:color="auto" w:fill="DEEAF6" w:themeFill="accent1" w:themeFillTint="33"/>
                  <w:vAlign w:val="center"/>
                  <w:hideMark/>
                </w:tcPr>
                <w:p w14:paraId="2770B68F" w14:textId="77777777" w:rsidR="008230E7" w:rsidRPr="0059613C" w:rsidRDefault="008230E7" w:rsidP="00EC3FD5">
                  <w:pPr>
                    <w:spacing w:after="0" w:line="240" w:lineRule="auto"/>
                    <w:jc w:val="center"/>
                    <w:rPr>
                      <w:rFonts w:ascii="Verdana" w:eastAsia="Times New Roman" w:hAnsi="Verdana" w:cstheme="minorHAnsi"/>
                      <w:b/>
                      <w:bCs/>
                      <w:color w:val="000000"/>
                      <w:sz w:val="18"/>
                      <w:szCs w:val="18"/>
                      <w:lang w:eastAsia="es-CL"/>
                    </w:rPr>
                  </w:pPr>
                  <w:r w:rsidRPr="0059613C">
                    <w:rPr>
                      <w:rFonts w:ascii="Verdana" w:eastAsia="Times New Roman" w:hAnsi="Verdana" w:cstheme="minorHAnsi"/>
                      <w:b/>
                      <w:bCs/>
                      <w:color w:val="000000"/>
                      <w:sz w:val="18"/>
                      <w:szCs w:val="18"/>
                      <w:lang w:eastAsia="es-CL"/>
                    </w:rPr>
                    <w:t>1.891</w:t>
                  </w:r>
                </w:p>
              </w:tc>
              <w:tc>
                <w:tcPr>
                  <w:tcW w:w="2399" w:type="dxa"/>
                  <w:tcBorders>
                    <w:top w:val="nil"/>
                    <w:left w:val="nil"/>
                    <w:bottom w:val="single" w:sz="4" w:space="0" w:color="auto"/>
                    <w:right w:val="single" w:sz="4" w:space="0" w:color="auto"/>
                  </w:tcBorders>
                  <w:shd w:val="clear" w:color="auto" w:fill="DEEAF6" w:themeFill="accent1" w:themeFillTint="33"/>
                  <w:vAlign w:val="center"/>
                  <w:hideMark/>
                </w:tcPr>
                <w:p w14:paraId="2A1844F9" w14:textId="77777777" w:rsidR="008230E7" w:rsidRPr="0059613C" w:rsidRDefault="008230E7" w:rsidP="00A1528D">
                  <w:pPr>
                    <w:spacing w:after="0" w:line="240" w:lineRule="auto"/>
                    <w:jc w:val="right"/>
                    <w:rPr>
                      <w:rFonts w:ascii="Verdana" w:eastAsia="Times New Roman" w:hAnsi="Verdana" w:cstheme="minorHAnsi"/>
                      <w:b/>
                      <w:bCs/>
                      <w:color w:val="000000"/>
                      <w:sz w:val="18"/>
                      <w:szCs w:val="18"/>
                      <w:lang w:eastAsia="es-CL"/>
                    </w:rPr>
                  </w:pPr>
                  <w:r w:rsidRPr="0059613C">
                    <w:rPr>
                      <w:rFonts w:ascii="Verdana" w:eastAsia="Times New Roman" w:hAnsi="Verdana" w:cstheme="minorHAnsi"/>
                      <w:b/>
                      <w:bCs/>
                      <w:color w:val="000000"/>
                      <w:sz w:val="18"/>
                      <w:szCs w:val="18"/>
                      <w:lang w:eastAsia="es-CL"/>
                    </w:rPr>
                    <w:t xml:space="preserve"> 7.988.312.912 </w:t>
                  </w:r>
                </w:p>
              </w:tc>
              <w:tc>
                <w:tcPr>
                  <w:tcW w:w="2420" w:type="dxa"/>
                  <w:tcBorders>
                    <w:top w:val="nil"/>
                    <w:left w:val="nil"/>
                    <w:bottom w:val="single" w:sz="4" w:space="0" w:color="auto"/>
                    <w:right w:val="single" w:sz="4" w:space="0" w:color="auto"/>
                  </w:tcBorders>
                  <w:shd w:val="clear" w:color="auto" w:fill="DEEAF6" w:themeFill="accent1" w:themeFillTint="33"/>
                  <w:vAlign w:val="center"/>
                  <w:hideMark/>
                </w:tcPr>
                <w:p w14:paraId="001AC0B4" w14:textId="77777777" w:rsidR="008230E7" w:rsidRPr="0059613C" w:rsidRDefault="008230E7" w:rsidP="00A1528D">
                  <w:pPr>
                    <w:spacing w:after="0" w:line="240" w:lineRule="auto"/>
                    <w:jc w:val="right"/>
                    <w:rPr>
                      <w:rFonts w:ascii="Verdana" w:eastAsia="Times New Roman" w:hAnsi="Verdana" w:cstheme="minorHAnsi"/>
                      <w:b/>
                      <w:bCs/>
                      <w:color w:val="000000"/>
                      <w:sz w:val="18"/>
                      <w:szCs w:val="18"/>
                      <w:lang w:eastAsia="es-CL"/>
                    </w:rPr>
                  </w:pPr>
                  <w:r w:rsidRPr="0059613C">
                    <w:rPr>
                      <w:rFonts w:ascii="Verdana" w:eastAsia="Times New Roman" w:hAnsi="Verdana" w:cstheme="minorHAnsi"/>
                      <w:b/>
                      <w:bCs/>
                      <w:color w:val="000000"/>
                      <w:sz w:val="18"/>
                      <w:szCs w:val="18"/>
                      <w:lang w:eastAsia="es-CL"/>
                    </w:rPr>
                    <w:t xml:space="preserve">   63.231 </w:t>
                  </w:r>
                </w:p>
              </w:tc>
            </w:tr>
          </w:tbl>
          <w:p w14:paraId="7119CFBC" w14:textId="77777777" w:rsidR="00EC3FD5" w:rsidRDefault="00EC3FD5" w:rsidP="00EC3FD5">
            <w:pPr>
              <w:jc w:val="both"/>
              <w:rPr>
                <w:rFonts w:ascii="Verdana" w:hAnsi="Verdana"/>
                <w:b w:val="0"/>
                <w:sz w:val="18"/>
                <w:szCs w:val="18"/>
              </w:rPr>
            </w:pPr>
          </w:p>
          <w:p w14:paraId="06434162" w14:textId="77777777" w:rsidR="00A86532" w:rsidRPr="005F137F" w:rsidRDefault="00EC3FD5" w:rsidP="005F137F">
            <w:pPr>
              <w:jc w:val="both"/>
              <w:rPr>
                <w:rFonts w:ascii="Verdana" w:hAnsi="Verdana"/>
                <w:b w:val="0"/>
                <w:sz w:val="18"/>
                <w:szCs w:val="18"/>
              </w:rPr>
            </w:pPr>
            <w:r w:rsidRPr="00305C08">
              <w:rPr>
                <w:rFonts w:ascii="Verdana" w:hAnsi="Verdana"/>
                <w:b w:val="0"/>
                <w:sz w:val="18"/>
                <w:szCs w:val="18"/>
              </w:rPr>
              <w:t>Respecto a la participación por género según monto bonificado: 5</w:t>
            </w:r>
            <w:r w:rsidR="00861126">
              <w:rPr>
                <w:rFonts w:ascii="Verdana" w:hAnsi="Verdana"/>
                <w:b w:val="0"/>
                <w:sz w:val="18"/>
                <w:szCs w:val="18"/>
              </w:rPr>
              <w:t>4% masculino, 27% femenino y 19</w:t>
            </w:r>
            <w:r w:rsidRPr="00305C08">
              <w:rPr>
                <w:rFonts w:ascii="Verdana" w:hAnsi="Verdana"/>
                <w:b w:val="0"/>
                <w:sz w:val="18"/>
                <w:szCs w:val="18"/>
              </w:rPr>
              <w:t>% personas jurídicas.</w:t>
            </w:r>
          </w:p>
          <w:p w14:paraId="5D2FF73C" w14:textId="77777777" w:rsidR="00185945" w:rsidRPr="00435923" w:rsidRDefault="00185945" w:rsidP="002F1919">
            <w:pPr>
              <w:jc w:val="both"/>
              <w:rPr>
                <w:rFonts w:ascii="Verdana" w:hAnsi="Verdana"/>
                <w:b w:val="0"/>
                <w:color w:val="FF0000"/>
                <w:sz w:val="18"/>
                <w:szCs w:val="18"/>
              </w:rPr>
            </w:pPr>
          </w:p>
        </w:tc>
      </w:tr>
    </w:tbl>
    <w:p w14:paraId="0F0A917B" w14:textId="77777777" w:rsidR="00256C4A" w:rsidRDefault="00256C4A" w:rsidP="00C0357D">
      <w:pPr>
        <w:ind w:left="360"/>
        <w:jc w:val="both"/>
      </w:pPr>
    </w:p>
    <w:p w14:paraId="237BE411" w14:textId="77777777" w:rsidR="0059613C" w:rsidRDefault="0059613C" w:rsidP="00C0357D">
      <w:pPr>
        <w:ind w:left="360"/>
        <w:jc w:val="both"/>
      </w:pPr>
    </w:p>
    <w:p w14:paraId="62E9257C" w14:textId="77777777" w:rsidR="0059613C" w:rsidRDefault="0059613C" w:rsidP="00C0357D">
      <w:pPr>
        <w:ind w:left="360"/>
        <w:jc w:val="both"/>
      </w:pPr>
    </w:p>
    <w:p w14:paraId="254FE090" w14:textId="77777777" w:rsidR="0059613C" w:rsidRDefault="0059613C" w:rsidP="00C0357D">
      <w:pPr>
        <w:ind w:left="360"/>
        <w:jc w:val="both"/>
      </w:pPr>
    </w:p>
    <w:p w14:paraId="0466B7FA" w14:textId="77777777" w:rsidR="0059613C" w:rsidRDefault="0059613C" w:rsidP="00C0357D">
      <w:pPr>
        <w:ind w:left="360"/>
        <w:jc w:val="both"/>
      </w:pPr>
    </w:p>
    <w:p w14:paraId="73ACA61E" w14:textId="77777777" w:rsidR="0059613C" w:rsidRDefault="0059613C" w:rsidP="00C0357D">
      <w:pPr>
        <w:ind w:left="360"/>
        <w:jc w:val="both"/>
      </w:pPr>
    </w:p>
    <w:p w14:paraId="416DC4DC" w14:textId="77777777" w:rsidR="0059613C" w:rsidRDefault="0059613C" w:rsidP="00C0357D">
      <w:pPr>
        <w:ind w:left="360"/>
        <w:jc w:val="both"/>
      </w:pPr>
    </w:p>
    <w:p w14:paraId="2B25FE6B" w14:textId="77777777" w:rsidR="0059613C" w:rsidRDefault="0059613C" w:rsidP="00C0357D">
      <w:pPr>
        <w:ind w:left="360"/>
        <w:jc w:val="both"/>
      </w:pPr>
    </w:p>
    <w:p w14:paraId="6B9E282F" w14:textId="77777777" w:rsidR="0059613C" w:rsidRDefault="0059613C" w:rsidP="00C0357D">
      <w:pPr>
        <w:ind w:left="360"/>
        <w:jc w:val="both"/>
      </w:pPr>
    </w:p>
    <w:p w14:paraId="2D7880B2" w14:textId="77777777" w:rsidR="0059613C" w:rsidRDefault="0059613C" w:rsidP="00C0357D">
      <w:pPr>
        <w:ind w:left="360"/>
        <w:jc w:val="both"/>
      </w:pPr>
    </w:p>
    <w:p w14:paraId="02EDFC9E" w14:textId="77777777" w:rsidR="0059613C" w:rsidRDefault="0059613C" w:rsidP="00C0357D">
      <w:pPr>
        <w:ind w:left="360"/>
        <w:jc w:val="both"/>
      </w:pPr>
    </w:p>
    <w:p w14:paraId="7F00E59A" w14:textId="77777777" w:rsidR="0059613C" w:rsidRDefault="0059613C" w:rsidP="00C0357D">
      <w:pPr>
        <w:ind w:left="360"/>
        <w:jc w:val="both"/>
      </w:pPr>
    </w:p>
    <w:p w14:paraId="60754B98" w14:textId="77777777" w:rsidR="0059613C" w:rsidRDefault="0059613C" w:rsidP="00C0357D">
      <w:pPr>
        <w:ind w:left="360"/>
        <w:jc w:val="both"/>
      </w:pPr>
    </w:p>
    <w:p w14:paraId="0EE1E05C" w14:textId="77777777" w:rsidR="0059613C" w:rsidRDefault="0059613C" w:rsidP="00C0357D">
      <w:pPr>
        <w:ind w:left="360"/>
        <w:jc w:val="both"/>
      </w:pPr>
    </w:p>
    <w:tbl>
      <w:tblPr>
        <w:tblStyle w:val="Tabladecuadrcula4-nfasis11"/>
        <w:tblW w:w="5000" w:type="pct"/>
        <w:tblLook w:val="04A0" w:firstRow="1" w:lastRow="0" w:firstColumn="1" w:lastColumn="0" w:noHBand="0" w:noVBand="1"/>
      </w:tblPr>
      <w:tblGrid>
        <w:gridCol w:w="4958"/>
        <w:gridCol w:w="1418"/>
        <w:gridCol w:w="2452"/>
      </w:tblGrid>
      <w:tr w:rsidR="00667A72" w14:paraId="053094B5" w14:textId="77777777" w:rsidTr="004711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pct"/>
          </w:tcPr>
          <w:p w14:paraId="0A68F09B" w14:textId="77777777" w:rsidR="00667A72" w:rsidRPr="00D72D50" w:rsidRDefault="00667A72" w:rsidP="00776881">
            <w:pPr>
              <w:jc w:val="center"/>
              <w:rPr>
                <w:rFonts w:ascii="Verdana" w:hAnsi="Verdana"/>
                <w:sz w:val="18"/>
                <w:szCs w:val="18"/>
              </w:rPr>
            </w:pPr>
            <w:r w:rsidRPr="00D72D50">
              <w:rPr>
                <w:rFonts w:ascii="Verdana" w:hAnsi="Verdana"/>
                <w:sz w:val="18"/>
                <w:szCs w:val="18"/>
              </w:rPr>
              <w:lastRenderedPageBreak/>
              <w:t>Objetivo Estratégico</w:t>
            </w:r>
          </w:p>
        </w:tc>
        <w:tc>
          <w:tcPr>
            <w:tcW w:w="2192" w:type="pct"/>
            <w:gridSpan w:val="2"/>
          </w:tcPr>
          <w:p w14:paraId="76E33336" w14:textId="77777777" w:rsidR="00667A72" w:rsidRPr="00D72D50" w:rsidRDefault="00EF594C" w:rsidP="00893C60">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sidRPr="00D72D50">
              <w:rPr>
                <w:rFonts w:ascii="Verdana" w:hAnsi="Verdana"/>
                <w:sz w:val="18"/>
                <w:szCs w:val="18"/>
              </w:rPr>
              <w:t>Objetivo Específico 201</w:t>
            </w:r>
            <w:r w:rsidR="00893C60">
              <w:rPr>
                <w:rFonts w:ascii="Verdana" w:hAnsi="Verdana"/>
                <w:sz w:val="18"/>
                <w:szCs w:val="18"/>
              </w:rPr>
              <w:t>9</w:t>
            </w:r>
            <w:r>
              <w:rPr>
                <w:rFonts w:ascii="Verdana" w:hAnsi="Verdana"/>
                <w:sz w:val="18"/>
                <w:szCs w:val="18"/>
              </w:rPr>
              <w:t xml:space="preserve"> (Táctico)</w:t>
            </w:r>
          </w:p>
        </w:tc>
      </w:tr>
      <w:tr w:rsidR="00667A72" w14:paraId="6E0C1A53" w14:textId="77777777" w:rsidTr="004711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pct"/>
          </w:tcPr>
          <w:p w14:paraId="33C5A16C" w14:textId="77777777" w:rsidR="00667A72" w:rsidRPr="001019D8" w:rsidRDefault="00893C60" w:rsidP="00776881">
            <w:pPr>
              <w:rPr>
                <w:rFonts w:ascii="Verdana" w:hAnsi="Verdana"/>
              </w:rPr>
            </w:pPr>
            <w:r w:rsidRPr="001019D8">
              <w:rPr>
                <w:rFonts w:ascii="Verdana" w:hAnsi="Verdana" w:cstheme="minorHAnsi"/>
                <w:sz w:val="20"/>
                <w:szCs w:val="20"/>
              </w:rPr>
              <w:t xml:space="preserve">Fortalecer el patrimonio </w:t>
            </w:r>
            <w:proofErr w:type="spellStart"/>
            <w:r w:rsidRPr="001019D8">
              <w:rPr>
                <w:rFonts w:ascii="Verdana" w:hAnsi="Verdana" w:cstheme="minorHAnsi"/>
                <w:sz w:val="20"/>
                <w:szCs w:val="20"/>
              </w:rPr>
              <w:t>fito</w:t>
            </w:r>
            <w:proofErr w:type="spellEnd"/>
            <w:r w:rsidRPr="001019D8">
              <w:rPr>
                <w:rFonts w:ascii="Verdana" w:hAnsi="Verdana" w:cstheme="minorHAnsi"/>
                <w:sz w:val="20"/>
                <w:szCs w:val="20"/>
              </w:rPr>
              <w:t xml:space="preserve"> y zoosanitario del país para apoyar el desarrollo sustentable y competitivo del sector </w:t>
            </w:r>
            <w:proofErr w:type="spellStart"/>
            <w:r w:rsidRPr="001019D8">
              <w:rPr>
                <w:rFonts w:ascii="Verdana" w:hAnsi="Verdana" w:cstheme="minorHAnsi"/>
                <w:sz w:val="20"/>
                <w:szCs w:val="20"/>
              </w:rPr>
              <w:t>silvoagropecuario</w:t>
            </w:r>
            <w:proofErr w:type="spellEnd"/>
            <w:r w:rsidRPr="001019D8">
              <w:rPr>
                <w:rFonts w:ascii="Verdana" w:hAnsi="Verdana" w:cstheme="minorHAnsi"/>
                <w:sz w:val="20"/>
                <w:szCs w:val="20"/>
              </w:rPr>
              <w:t xml:space="preserve"> nacional velando por el cumplimiento de la normativa de los ámbitos de acción del Servicio.</w:t>
            </w:r>
          </w:p>
        </w:tc>
        <w:tc>
          <w:tcPr>
            <w:tcW w:w="2192" w:type="pct"/>
            <w:gridSpan w:val="2"/>
          </w:tcPr>
          <w:p w14:paraId="3FCE7284" w14:textId="77777777" w:rsidR="00667A72" w:rsidRPr="001019D8" w:rsidRDefault="00893C60" w:rsidP="00BD4AAF">
            <w:pPr>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1019D8">
              <w:rPr>
                <w:rFonts w:ascii="Verdana" w:hAnsi="Verdana" w:cstheme="minorHAnsi"/>
                <w:sz w:val="20"/>
                <w:szCs w:val="20"/>
              </w:rPr>
              <w:t>Mitigar el riesgo de introducción de Polilla gitana (</w:t>
            </w:r>
            <w:proofErr w:type="spellStart"/>
            <w:r w:rsidRPr="001019D8">
              <w:rPr>
                <w:rFonts w:ascii="Verdana" w:hAnsi="Verdana" w:cstheme="minorHAnsi"/>
                <w:i/>
                <w:sz w:val="20"/>
                <w:szCs w:val="20"/>
              </w:rPr>
              <w:t>Lymantria</w:t>
            </w:r>
            <w:proofErr w:type="spellEnd"/>
            <w:r w:rsidRPr="001019D8">
              <w:rPr>
                <w:rFonts w:ascii="Verdana" w:hAnsi="Verdana" w:cstheme="minorHAnsi"/>
                <w:i/>
                <w:sz w:val="20"/>
                <w:szCs w:val="20"/>
              </w:rPr>
              <w:t xml:space="preserve"> dispar</w:t>
            </w:r>
            <w:r w:rsidRPr="001019D8">
              <w:rPr>
                <w:rFonts w:ascii="Verdana" w:hAnsi="Verdana" w:cstheme="minorHAnsi"/>
                <w:sz w:val="20"/>
                <w:szCs w:val="20"/>
              </w:rPr>
              <w:t>) en el territorio nacional, por naves provenientes de países de riesgo.</w:t>
            </w:r>
          </w:p>
        </w:tc>
      </w:tr>
      <w:tr w:rsidR="00667A72" w14:paraId="3DABD22A" w14:textId="77777777" w:rsidTr="004711B9">
        <w:tc>
          <w:tcPr>
            <w:cnfStyle w:val="001000000000" w:firstRow="0" w:lastRow="0" w:firstColumn="1" w:lastColumn="0" w:oddVBand="0" w:evenVBand="0" w:oddHBand="0" w:evenHBand="0" w:firstRowFirstColumn="0" w:firstRowLastColumn="0" w:lastRowFirstColumn="0" w:lastRowLastColumn="0"/>
            <w:tcW w:w="2808" w:type="pct"/>
            <w:shd w:val="clear" w:color="auto" w:fill="5B9BD5" w:themeFill="accent1"/>
          </w:tcPr>
          <w:p w14:paraId="615AE354" w14:textId="77777777" w:rsidR="00667A72" w:rsidRPr="001019D8" w:rsidRDefault="00667A72" w:rsidP="00776881">
            <w:pPr>
              <w:jc w:val="center"/>
              <w:rPr>
                <w:rFonts w:ascii="Verdana" w:hAnsi="Verdana"/>
                <w:color w:val="FFFFFF" w:themeColor="background1"/>
                <w:sz w:val="18"/>
                <w:szCs w:val="18"/>
              </w:rPr>
            </w:pPr>
            <w:r w:rsidRPr="001019D8">
              <w:rPr>
                <w:rFonts w:ascii="Verdana" w:hAnsi="Verdana"/>
                <w:color w:val="FFFFFF" w:themeColor="background1"/>
                <w:sz w:val="18"/>
                <w:szCs w:val="18"/>
              </w:rPr>
              <w:t>Indicador</w:t>
            </w:r>
          </w:p>
        </w:tc>
        <w:tc>
          <w:tcPr>
            <w:tcW w:w="803" w:type="pct"/>
            <w:shd w:val="clear" w:color="auto" w:fill="5B9BD5" w:themeFill="accent1"/>
          </w:tcPr>
          <w:p w14:paraId="76CFED0C" w14:textId="77777777" w:rsidR="00667A72" w:rsidRPr="001019D8" w:rsidRDefault="00667A72" w:rsidP="00893C60">
            <w:pPr>
              <w:jc w:val="center"/>
              <w:cnfStyle w:val="000000000000" w:firstRow="0" w:lastRow="0" w:firstColumn="0" w:lastColumn="0" w:oddVBand="0" w:evenVBand="0" w:oddHBand="0" w:evenHBand="0" w:firstRowFirstColumn="0" w:firstRowLastColumn="0" w:lastRowFirstColumn="0" w:lastRowLastColumn="0"/>
              <w:rPr>
                <w:rFonts w:ascii="Verdana" w:hAnsi="Verdana"/>
                <w:b/>
                <w:color w:val="FFFFFF" w:themeColor="background1"/>
                <w:sz w:val="18"/>
                <w:szCs w:val="18"/>
              </w:rPr>
            </w:pPr>
            <w:r w:rsidRPr="001019D8">
              <w:rPr>
                <w:rFonts w:ascii="Verdana" w:hAnsi="Verdana"/>
                <w:b/>
                <w:color w:val="FFFFFF" w:themeColor="background1"/>
                <w:sz w:val="18"/>
                <w:szCs w:val="18"/>
              </w:rPr>
              <w:t>Meta 201</w:t>
            </w:r>
            <w:r w:rsidR="00893C60" w:rsidRPr="001019D8">
              <w:rPr>
                <w:rFonts w:ascii="Verdana" w:hAnsi="Verdana"/>
                <w:b/>
                <w:color w:val="FFFFFF" w:themeColor="background1"/>
                <w:sz w:val="18"/>
                <w:szCs w:val="18"/>
              </w:rPr>
              <w:t>9</w:t>
            </w:r>
          </w:p>
        </w:tc>
        <w:tc>
          <w:tcPr>
            <w:tcW w:w="1390" w:type="pct"/>
            <w:shd w:val="clear" w:color="auto" w:fill="5B9BD5" w:themeFill="accent1"/>
          </w:tcPr>
          <w:p w14:paraId="21C5D5E7" w14:textId="77777777" w:rsidR="00667A72" w:rsidRPr="001019D8" w:rsidRDefault="0096609A" w:rsidP="00893C60">
            <w:pPr>
              <w:jc w:val="center"/>
              <w:cnfStyle w:val="000000000000" w:firstRow="0" w:lastRow="0" w:firstColumn="0" w:lastColumn="0" w:oddVBand="0" w:evenVBand="0" w:oddHBand="0" w:evenHBand="0" w:firstRowFirstColumn="0" w:firstRowLastColumn="0" w:lastRowFirstColumn="0" w:lastRowLastColumn="0"/>
              <w:rPr>
                <w:rFonts w:ascii="Verdana" w:hAnsi="Verdana"/>
                <w:b/>
                <w:color w:val="FFFFFF" w:themeColor="background1"/>
                <w:sz w:val="18"/>
                <w:szCs w:val="18"/>
              </w:rPr>
            </w:pPr>
            <w:r w:rsidRPr="001019D8">
              <w:rPr>
                <w:rFonts w:ascii="Verdana" w:hAnsi="Verdana"/>
                <w:b/>
                <w:color w:val="FFFFFF" w:themeColor="background1"/>
                <w:sz w:val="18"/>
                <w:szCs w:val="18"/>
              </w:rPr>
              <w:t>Resultado al 31.12.19</w:t>
            </w:r>
          </w:p>
        </w:tc>
      </w:tr>
      <w:tr w:rsidR="00667A72" w14:paraId="5B5718D7" w14:textId="77777777" w:rsidTr="004711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pct"/>
          </w:tcPr>
          <w:p w14:paraId="03AA6788" w14:textId="77777777" w:rsidR="00667A72" w:rsidRPr="001019D8" w:rsidRDefault="00667A72" w:rsidP="00776881">
            <w:pPr>
              <w:jc w:val="both"/>
              <w:rPr>
                <w:rFonts w:ascii="Verdana" w:hAnsi="Verdana"/>
                <w:sz w:val="18"/>
                <w:szCs w:val="18"/>
              </w:rPr>
            </w:pPr>
            <w:r w:rsidRPr="001019D8">
              <w:rPr>
                <w:rFonts w:ascii="Verdana" w:hAnsi="Verdana" w:cstheme="minorHAnsi"/>
                <w:sz w:val="20"/>
                <w:szCs w:val="20"/>
              </w:rPr>
              <w:t>Porcentaje de naves de riesgo sometidas a inspección obligatoria y específica para la detección de polilla gitana raza asiática en puertos nacionales.</w:t>
            </w:r>
          </w:p>
        </w:tc>
        <w:tc>
          <w:tcPr>
            <w:tcW w:w="803" w:type="pct"/>
            <w:vAlign w:val="center"/>
          </w:tcPr>
          <w:p w14:paraId="3B5290D1" w14:textId="77777777" w:rsidR="00667A72" w:rsidRPr="001019D8" w:rsidRDefault="00667A72" w:rsidP="00EF594C">
            <w:pPr>
              <w:jc w:val="cente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1019D8">
              <w:rPr>
                <w:rFonts w:ascii="Verdana" w:hAnsi="Verdana"/>
                <w:sz w:val="24"/>
                <w:szCs w:val="24"/>
              </w:rPr>
              <w:t>90%</w:t>
            </w:r>
          </w:p>
        </w:tc>
        <w:tc>
          <w:tcPr>
            <w:tcW w:w="1390" w:type="pct"/>
            <w:vAlign w:val="center"/>
          </w:tcPr>
          <w:p w14:paraId="698A758B" w14:textId="77777777" w:rsidR="00EF594C" w:rsidRPr="001019D8" w:rsidRDefault="00D1305F" w:rsidP="00EF594C">
            <w:pPr>
              <w:jc w:val="cente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1019D8">
              <w:rPr>
                <w:rFonts w:ascii="Verdana" w:hAnsi="Verdana"/>
                <w:sz w:val="24"/>
                <w:szCs w:val="24"/>
              </w:rPr>
              <w:t>9</w:t>
            </w:r>
            <w:r w:rsidR="00092D18" w:rsidRPr="001019D8">
              <w:rPr>
                <w:rFonts w:ascii="Verdana" w:hAnsi="Verdana"/>
                <w:sz w:val="24"/>
                <w:szCs w:val="24"/>
              </w:rPr>
              <w:t>9</w:t>
            </w:r>
            <w:r w:rsidRPr="001019D8">
              <w:rPr>
                <w:rFonts w:ascii="Verdana" w:hAnsi="Verdana"/>
                <w:sz w:val="24"/>
                <w:szCs w:val="24"/>
              </w:rPr>
              <w:t>,</w:t>
            </w:r>
            <w:r w:rsidR="00A1528D" w:rsidRPr="001019D8">
              <w:rPr>
                <w:rFonts w:ascii="Verdana" w:hAnsi="Verdana"/>
                <w:sz w:val="24"/>
                <w:szCs w:val="24"/>
              </w:rPr>
              <w:t>3</w:t>
            </w:r>
            <w:r w:rsidR="00EF594C" w:rsidRPr="001019D8">
              <w:rPr>
                <w:rFonts w:ascii="Verdana" w:hAnsi="Verdana"/>
                <w:sz w:val="24"/>
                <w:szCs w:val="24"/>
              </w:rPr>
              <w:t>%</w:t>
            </w:r>
          </w:p>
          <w:p w14:paraId="7FCC4A9B" w14:textId="77777777" w:rsidR="00EF594C" w:rsidRPr="001019D8" w:rsidRDefault="00EF594C" w:rsidP="000C6EFA">
            <w:pPr>
              <w:jc w:val="cente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1019D8">
              <w:rPr>
                <w:rFonts w:ascii="Verdana" w:hAnsi="Verdana"/>
                <w:sz w:val="24"/>
                <w:szCs w:val="24"/>
              </w:rPr>
              <w:t>(</w:t>
            </w:r>
            <w:r w:rsidR="00092D18" w:rsidRPr="001019D8">
              <w:rPr>
                <w:rFonts w:ascii="Verdana" w:hAnsi="Verdana"/>
                <w:sz w:val="24"/>
                <w:szCs w:val="24"/>
              </w:rPr>
              <w:t>14</w:t>
            </w:r>
            <w:r w:rsidR="000C6EFA" w:rsidRPr="001019D8">
              <w:rPr>
                <w:rFonts w:ascii="Verdana" w:hAnsi="Verdana"/>
                <w:sz w:val="24"/>
                <w:szCs w:val="24"/>
              </w:rPr>
              <w:t>4</w:t>
            </w:r>
            <w:r w:rsidRPr="001019D8">
              <w:rPr>
                <w:rFonts w:ascii="Verdana" w:hAnsi="Verdana"/>
                <w:sz w:val="24"/>
                <w:szCs w:val="24"/>
              </w:rPr>
              <w:t>/</w:t>
            </w:r>
            <w:r w:rsidR="00092D18" w:rsidRPr="001019D8">
              <w:rPr>
                <w:rFonts w:ascii="Verdana" w:hAnsi="Verdana"/>
                <w:sz w:val="24"/>
                <w:szCs w:val="24"/>
              </w:rPr>
              <w:t>14</w:t>
            </w:r>
            <w:r w:rsidR="000C6EFA" w:rsidRPr="001019D8">
              <w:rPr>
                <w:rFonts w:ascii="Verdana" w:hAnsi="Verdana"/>
                <w:sz w:val="24"/>
                <w:szCs w:val="24"/>
              </w:rPr>
              <w:t>5</w:t>
            </w:r>
            <w:r w:rsidRPr="001019D8">
              <w:rPr>
                <w:rFonts w:ascii="Verdana" w:hAnsi="Verdana"/>
                <w:sz w:val="24"/>
                <w:szCs w:val="24"/>
              </w:rPr>
              <w:t>)</w:t>
            </w:r>
          </w:p>
        </w:tc>
      </w:tr>
      <w:tr w:rsidR="00667A72" w14:paraId="077458A8" w14:textId="77777777" w:rsidTr="00776881">
        <w:tc>
          <w:tcPr>
            <w:cnfStyle w:val="001000000000" w:firstRow="0" w:lastRow="0" w:firstColumn="1" w:lastColumn="0" w:oddVBand="0" w:evenVBand="0" w:oddHBand="0" w:evenHBand="0" w:firstRowFirstColumn="0" w:firstRowLastColumn="0" w:lastRowFirstColumn="0" w:lastRowLastColumn="0"/>
            <w:tcW w:w="5000" w:type="pct"/>
            <w:gridSpan w:val="3"/>
          </w:tcPr>
          <w:p w14:paraId="3760C5C0" w14:textId="77777777" w:rsidR="0066397A" w:rsidRDefault="0096609A" w:rsidP="00776881">
            <w:pPr>
              <w:spacing w:before="120"/>
              <w:jc w:val="both"/>
              <w:rPr>
                <w:rFonts w:ascii="Verdana" w:hAnsi="Verdana"/>
                <w:sz w:val="18"/>
                <w:szCs w:val="18"/>
              </w:rPr>
            </w:pPr>
            <w:r>
              <w:rPr>
                <w:rFonts w:ascii="Verdana" w:hAnsi="Verdana"/>
                <w:sz w:val="18"/>
                <w:szCs w:val="18"/>
              </w:rPr>
              <w:t>Descripción del Resultado:</w:t>
            </w:r>
          </w:p>
          <w:p w14:paraId="168F21D5" w14:textId="7A0BBC8C" w:rsidR="0066397A" w:rsidRDefault="0066397A" w:rsidP="0066397A">
            <w:pPr>
              <w:jc w:val="both"/>
              <w:rPr>
                <w:rFonts w:ascii="Verdana" w:hAnsi="Verdana"/>
                <w:b w:val="0"/>
                <w:sz w:val="18"/>
                <w:szCs w:val="18"/>
              </w:rPr>
            </w:pPr>
            <w:proofErr w:type="spellStart"/>
            <w:r w:rsidRPr="00BE4472">
              <w:rPr>
                <w:rFonts w:ascii="Verdana" w:hAnsi="Verdana"/>
                <w:b w:val="0"/>
                <w:i/>
                <w:iCs/>
                <w:sz w:val="18"/>
                <w:szCs w:val="18"/>
              </w:rPr>
              <w:t>Lymantria</w:t>
            </w:r>
            <w:proofErr w:type="spellEnd"/>
            <w:r w:rsidRPr="00BE4472">
              <w:rPr>
                <w:rFonts w:ascii="Verdana" w:hAnsi="Verdana"/>
                <w:b w:val="0"/>
                <w:i/>
                <w:iCs/>
                <w:sz w:val="18"/>
                <w:szCs w:val="18"/>
              </w:rPr>
              <w:t xml:space="preserve"> dispa</w:t>
            </w:r>
            <w:r w:rsidRPr="00BE4472">
              <w:rPr>
                <w:rFonts w:ascii="Verdana" w:hAnsi="Verdana"/>
                <w:b w:val="0"/>
                <w:sz w:val="18"/>
                <w:szCs w:val="18"/>
              </w:rPr>
              <w:t xml:space="preserve">r </w:t>
            </w:r>
            <w:proofErr w:type="spellStart"/>
            <w:r w:rsidRPr="00BE4472">
              <w:rPr>
                <w:rFonts w:ascii="Verdana" w:hAnsi="Verdana"/>
                <w:b w:val="0"/>
                <w:i/>
                <w:iCs/>
                <w:sz w:val="18"/>
                <w:szCs w:val="18"/>
              </w:rPr>
              <w:t>asiatica</w:t>
            </w:r>
            <w:proofErr w:type="spellEnd"/>
            <w:r w:rsidRPr="00BE4472">
              <w:rPr>
                <w:rFonts w:ascii="Verdana" w:hAnsi="Verdana"/>
                <w:b w:val="0"/>
                <w:i/>
                <w:iCs/>
                <w:sz w:val="18"/>
                <w:szCs w:val="18"/>
              </w:rPr>
              <w:t xml:space="preserve"> </w:t>
            </w:r>
            <w:r w:rsidRPr="00BE4472">
              <w:rPr>
                <w:rFonts w:ascii="Verdana" w:hAnsi="Verdana"/>
                <w:b w:val="0"/>
                <w:sz w:val="18"/>
                <w:szCs w:val="18"/>
              </w:rPr>
              <w:t xml:space="preserve">y </w:t>
            </w:r>
            <w:proofErr w:type="spellStart"/>
            <w:r w:rsidRPr="00BE4472">
              <w:rPr>
                <w:rFonts w:ascii="Verdana" w:hAnsi="Verdana"/>
                <w:b w:val="0"/>
                <w:i/>
                <w:iCs/>
                <w:sz w:val="18"/>
                <w:szCs w:val="18"/>
              </w:rPr>
              <w:t>Lymantria</w:t>
            </w:r>
            <w:proofErr w:type="spellEnd"/>
            <w:r w:rsidRPr="00BE4472">
              <w:rPr>
                <w:rFonts w:ascii="Verdana" w:hAnsi="Verdana"/>
                <w:b w:val="0"/>
                <w:i/>
                <w:iCs/>
                <w:sz w:val="18"/>
                <w:szCs w:val="18"/>
              </w:rPr>
              <w:t xml:space="preserve"> dispar </w:t>
            </w:r>
            <w:proofErr w:type="spellStart"/>
            <w:r w:rsidRPr="00BE4472">
              <w:rPr>
                <w:rFonts w:ascii="Verdana" w:hAnsi="Verdana"/>
                <w:b w:val="0"/>
                <w:i/>
                <w:iCs/>
                <w:sz w:val="18"/>
                <w:szCs w:val="18"/>
              </w:rPr>
              <w:t>japonica</w:t>
            </w:r>
            <w:proofErr w:type="spellEnd"/>
            <w:r w:rsidRPr="00BE4472">
              <w:rPr>
                <w:rFonts w:ascii="Verdana" w:hAnsi="Verdana"/>
                <w:b w:val="0"/>
                <w:i/>
                <w:iCs/>
                <w:sz w:val="18"/>
                <w:szCs w:val="18"/>
              </w:rPr>
              <w:t xml:space="preserve"> </w:t>
            </w:r>
            <w:r w:rsidRPr="00BE4472">
              <w:rPr>
                <w:rFonts w:ascii="Verdana" w:hAnsi="Verdana"/>
                <w:b w:val="0"/>
                <w:sz w:val="18"/>
                <w:szCs w:val="18"/>
              </w:rPr>
              <w:t>son conocidas comúnmente como “polilla gitana asiática” (PGRA) y constituyen plagas cuarentenarias no presentes en Chile. Su área de origen es Asia, (China, Corea, Japón y el lejano este de Rusia). Por sus características biológicas y de alimentación, tiene una alta tasa de reproducción y las larvas se alimentan del follaje de más de 500 especies de árboles y arbustos, constituyendo un peligro potencial para nuevos lugares donde pudiera arribar</w:t>
            </w:r>
            <w:r w:rsidRPr="00BE4472">
              <w:rPr>
                <w:rFonts w:ascii="Verdana" w:hAnsi="Verdana"/>
                <w:sz w:val="18"/>
                <w:szCs w:val="18"/>
              </w:rPr>
              <w:t xml:space="preserve">. </w:t>
            </w:r>
            <w:r w:rsidRPr="00BE4472">
              <w:rPr>
                <w:rFonts w:ascii="Verdana" w:hAnsi="Verdana"/>
                <w:b w:val="0"/>
                <w:sz w:val="18"/>
                <w:szCs w:val="18"/>
              </w:rPr>
              <w:t xml:space="preserve">Debido a ello, el SAG estableció requisitos fitosanitarios específicos para las naves de transporte marítimo, de carga, pesqueras, de turismo, científicas y de pasajeros, que hayan zarpado o permanecido durante los últimos 24 meses, contados desde su arribo al primer puerto chileno, en puertos de China, Corea, Japón y Rusia, localizados entre los paralelos 20° y 60° de latitud norte, </w:t>
            </w:r>
            <w:r w:rsidR="00B7516B">
              <w:rPr>
                <w:rFonts w:ascii="Verdana" w:hAnsi="Verdana"/>
                <w:b w:val="0"/>
                <w:sz w:val="18"/>
                <w:szCs w:val="18"/>
              </w:rPr>
              <w:t xml:space="preserve">y </w:t>
            </w:r>
            <w:r w:rsidRPr="00BE4472">
              <w:rPr>
                <w:rFonts w:ascii="Verdana" w:hAnsi="Verdana"/>
                <w:b w:val="0"/>
                <w:sz w:val="18"/>
                <w:szCs w:val="18"/>
              </w:rPr>
              <w:t xml:space="preserve">cuyo período de permanencia se </w:t>
            </w:r>
            <w:r w:rsidR="00B7516B" w:rsidRPr="00BE4472">
              <w:rPr>
                <w:rFonts w:ascii="Verdana" w:hAnsi="Verdana"/>
                <w:b w:val="0"/>
                <w:sz w:val="18"/>
                <w:szCs w:val="18"/>
              </w:rPr>
              <w:t>encuentr</w:t>
            </w:r>
            <w:r w:rsidR="00B7516B">
              <w:rPr>
                <w:rFonts w:ascii="Verdana" w:hAnsi="Verdana"/>
                <w:b w:val="0"/>
                <w:sz w:val="18"/>
                <w:szCs w:val="18"/>
              </w:rPr>
              <w:t>e</w:t>
            </w:r>
            <w:r w:rsidR="00B7516B" w:rsidRPr="00BE4472">
              <w:rPr>
                <w:rFonts w:ascii="Verdana" w:hAnsi="Verdana"/>
                <w:b w:val="0"/>
                <w:sz w:val="18"/>
                <w:szCs w:val="18"/>
              </w:rPr>
              <w:t xml:space="preserve"> </w:t>
            </w:r>
            <w:r w:rsidRPr="00BE4472">
              <w:rPr>
                <w:rFonts w:ascii="Verdana" w:hAnsi="Verdana"/>
                <w:b w:val="0"/>
                <w:sz w:val="18"/>
                <w:szCs w:val="18"/>
              </w:rPr>
              <w:t xml:space="preserve">dentro del período de vuelo de las hembras de </w:t>
            </w:r>
            <w:proofErr w:type="spellStart"/>
            <w:r w:rsidRPr="008F31D8">
              <w:rPr>
                <w:rFonts w:ascii="Verdana" w:hAnsi="Verdana"/>
                <w:b w:val="0"/>
                <w:i/>
                <w:sz w:val="18"/>
                <w:szCs w:val="18"/>
              </w:rPr>
              <w:t>Lymantria</w:t>
            </w:r>
            <w:proofErr w:type="spellEnd"/>
            <w:r w:rsidRPr="008F31D8">
              <w:rPr>
                <w:rFonts w:ascii="Verdana" w:hAnsi="Verdana"/>
                <w:b w:val="0"/>
                <w:i/>
                <w:sz w:val="18"/>
                <w:szCs w:val="18"/>
              </w:rPr>
              <w:t xml:space="preserve"> dispar</w:t>
            </w:r>
            <w:r w:rsidR="00B7516B">
              <w:rPr>
                <w:rFonts w:ascii="Verdana" w:hAnsi="Verdana"/>
                <w:b w:val="0"/>
                <w:sz w:val="18"/>
                <w:szCs w:val="18"/>
              </w:rPr>
              <w:t>; las que</w:t>
            </w:r>
            <w:r w:rsidRPr="00BE4472">
              <w:rPr>
                <w:rFonts w:ascii="Verdana" w:hAnsi="Verdana"/>
                <w:b w:val="0"/>
                <w:sz w:val="18"/>
                <w:szCs w:val="18"/>
              </w:rPr>
              <w:t xml:space="preserve"> deben presentar un Certificado o documento oficial que acredite que la nave fue inspeccionada y está libre de estas especies.</w:t>
            </w:r>
          </w:p>
          <w:p w14:paraId="0C119C02" w14:textId="77777777" w:rsidR="0066397A" w:rsidRPr="0066397A" w:rsidRDefault="0066397A" w:rsidP="0066397A">
            <w:pPr>
              <w:jc w:val="both"/>
              <w:rPr>
                <w:rFonts w:ascii="Verdana" w:hAnsi="Verdana"/>
                <w:b w:val="0"/>
                <w:sz w:val="18"/>
                <w:szCs w:val="18"/>
              </w:rPr>
            </w:pPr>
          </w:p>
          <w:p w14:paraId="1A9AB1F9" w14:textId="77777777" w:rsidR="00FD7BFF" w:rsidRPr="001A5EB2" w:rsidRDefault="0066397A" w:rsidP="00FD7BFF">
            <w:pPr>
              <w:jc w:val="both"/>
              <w:rPr>
                <w:rFonts w:ascii="Verdana" w:hAnsi="Verdana"/>
                <w:b w:val="0"/>
                <w:sz w:val="18"/>
                <w:szCs w:val="18"/>
              </w:rPr>
            </w:pPr>
            <w:r w:rsidRPr="001A5EB2">
              <w:rPr>
                <w:rFonts w:ascii="Verdana" w:hAnsi="Verdana"/>
                <w:b w:val="0"/>
                <w:sz w:val="18"/>
                <w:szCs w:val="18"/>
              </w:rPr>
              <w:t>En</w:t>
            </w:r>
            <w:r w:rsidR="00FD7BFF" w:rsidRPr="001A5EB2">
              <w:rPr>
                <w:rFonts w:ascii="Verdana" w:hAnsi="Verdana"/>
                <w:b w:val="0"/>
                <w:sz w:val="18"/>
                <w:szCs w:val="18"/>
              </w:rPr>
              <w:t xml:space="preserve"> 2019 fueron inspeccionadas un </w:t>
            </w:r>
            <w:r w:rsidR="00092D18" w:rsidRPr="001A5EB2">
              <w:rPr>
                <w:rFonts w:ascii="Verdana" w:hAnsi="Verdana"/>
                <w:b w:val="0"/>
                <w:sz w:val="18"/>
                <w:szCs w:val="18"/>
              </w:rPr>
              <w:t>99</w:t>
            </w:r>
            <w:r w:rsidR="00FD7BFF" w:rsidRPr="001A5EB2">
              <w:rPr>
                <w:rFonts w:ascii="Verdana" w:hAnsi="Verdana"/>
                <w:b w:val="0"/>
                <w:sz w:val="18"/>
                <w:szCs w:val="18"/>
              </w:rPr>
              <w:t>,</w:t>
            </w:r>
            <w:r w:rsidR="00092D18" w:rsidRPr="001A5EB2">
              <w:rPr>
                <w:rFonts w:ascii="Verdana" w:hAnsi="Verdana"/>
                <w:b w:val="0"/>
                <w:sz w:val="18"/>
                <w:szCs w:val="18"/>
              </w:rPr>
              <w:t>3</w:t>
            </w:r>
            <w:r w:rsidR="00FD7BFF" w:rsidRPr="001A5EB2">
              <w:rPr>
                <w:rFonts w:ascii="Verdana" w:hAnsi="Verdana"/>
                <w:b w:val="0"/>
                <w:sz w:val="18"/>
                <w:szCs w:val="18"/>
              </w:rPr>
              <w:t xml:space="preserve">% de las naves de riesgo provenientes de áreas con presencia de polilla gitana raza asiática, lo que equivale a la inspección de </w:t>
            </w:r>
            <w:r w:rsidR="00092D18" w:rsidRPr="001A5EB2">
              <w:rPr>
                <w:rFonts w:ascii="Verdana" w:hAnsi="Verdana"/>
                <w:b w:val="0"/>
                <w:sz w:val="18"/>
                <w:szCs w:val="18"/>
              </w:rPr>
              <w:t>14</w:t>
            </w:r>
            <w:r w:rsidR="000C6EFA">
              <w:rPr>
                <w:rFonts w:ascii="Verdana" w:hAnsi="Verdana"/>
                <w:b w:val="0"/>
                <w:sz w:val="18"/>
                <w:szCs w:val="18"/>
              </w:rPr>
              <w:t>4</w:t>
            </w:r>
            <w:r w:rsidR="00FD7BFF" w:rsidRPr="001A5EB2">
              <w:rPr>
                <w:rFonts w:ascii="Verdana" w:hAnsi="Verdana"/>
                <w:b w:val="0"/>
                <w:sz w:val="18"/>
                <w:szCs w:val="18"/>
              </w:rPr>
              <w:t xml:space="preserve"> naves de riesgo alto de un total de </w:t>
            </w:r>
            <w:r w:rsidR="00092D18" w:rsidRPr="001A5EB2">
              <w:rPr>
                <w:rFonts w:ascii="Verdana" w:hAnsi="Verdana"/>
                <w:b w:val="0"/>
                <w:sz w:val="18"/>
                <w:szCs w:val="18"/>
              </w:rPr>
              <w:t>14</w:t>
            </w:r>
            <w:r w:rsidR="000C6EFA">
              <w:rPr>
                <w:rFonts w:ascii="Verdana" w:hAnsi="Verdana"/>
                <w:b w:val="0"/>
                <w:sz w:val="18"/>
                <w:szCs w:val="18"/>
              </w:rPr>
              <w:t>5</w:t>
            </w:r>
            <w:r w:rsidR="00FD7BFF" w:rsidRPr="001A5EB2">
              <w:rPr>
                <w:rFonts w:ascii="Verdana" w:hAnsi="Verdana"/>
                <w:b w:val="0"/>
                <w:sz w:val="18"/>
                <w:szCs w:val="18"/>
              </w:rPr>
              <w:t>. En este contexto, se detectó que en la Región de Antofagasta se produjo un error en la clasificación de la nave, por ello no se efectuó la inspección. No obstante, luego de detectado el error se dio aviso al puerto siguiente (Puerto Patache, en Iquique) para su revisión.</w:t>
            </w:r>
          </w:p>
          <w:p w14:paraId="3BAA6E9B" w14:textId="77777777" w:rsidR="00FD7BFF" w:rsidRPr="0066397A" w:rsidRDefault="00FD7BFF" w:rsidP="00FD7BFF">
            <w:pPr>
              <w:jc w:val="both"/>
              <w:rPr>
                <w:rFonts w:ascii="Verdana" w:hAnsi="Verdana"/>
                <w:b w:val="0"/>
                <w:color w:val="FF0000"/>
                <w:sz w:val="18"/>
                <w:szCs w:val="18"/>
              </w:rPr>
            </w:pPr>
          </w:p>
          <w:p w14:paraId="0E8B583B" w14:textId="5DEF0F9C" w:rsidR="009066A9" w:rsidRPr="004711B9" w:rsidRDefault="00FD7BFF" w:rsidP="00FD7BFF">
            <w:pPr>
              <w:jc w:val="both"/>
              <w:rPr>
                <w:rFonts w:ascii="Verdana" w:hAnsi="Verdana"/>
                <w:b w:val="0"/>
                <w:sz w:val="18"/>
                <w:szCs w:val="18"/>
              </w:rPr>
            </w:pPr>
            <w:r w:rsidRPr="001A5EB2">
              <w:rPr>
                <w:rFonts w:ascii="Verdana" w:hAnsi="Verdana"/>
                <w:b w:val="0"/>
                <w:sz w:val="18"/>
                <w:szCs w:val="18"/>
              </w:rPr>
              <w:t xml:space="preserve">Por otra parte, al comparar </w:t>
            </w:r>
            <w:r w:rsidR="009066A9" w:rsidRPr="001A5EB2">
              <w:rPr>
                <w:rFonts w:ascii="Verdana" w:hAnsi="Verdana"/>
                <w:b w:val="0"/>
                <w:sz w:val="18"/>
                <w:szCs w:val="18"/>
              </w:rPr>
              <w:t xml:space="preserve">a igual periodo </w:t>
            </w:r>
            <w:r w:rsidRPr="001A5EB2">
              <w:rPr>
                <w:rFonts w:ascii="Verdana" w:hAnsi="Verdana"/>
                <w:b w:val="0"/>
                <w:sz w:val="18"/>
                <w:szCs w:val="18"/>
              </w:rPr>
              <w:t xml:space="preserve">el número de naves sometidas a inspección obligatoria (es decir, naves provenientes de áreas de riesgo, que zarparon en período de vuelo de la hembra y que llegaron sin certificación de origen) disminuyó un </w:t>
            </w:r>
            <w:r w:rsidR="007F3308">
              <w:rPr>
                <w:rFonts w:ascii="Verdana" w:hAnsi="Verdana"/>
                <w:b w:val="0"/>
                <w:sz w:val="18"/>
                <w:szCs w:val="18"/>
              </w:rPr>
              <w:t>8</w:t>
            </w:r>
            <w:r w:rsidRPr="001A5EB2">
              <w:rPr>
                <w:rFonts w:ascii="Verdana" w:hAnsi="Verdana"/>
                <w:b w:val="0"/>
                <w:sz w:val="18"/>
                <w:szCs w:val="18"/>
              </w:rPr>
              <w:t>,</w:t>
            </w:r>
            <w:r w:rsidR="007F3308">
              <w:rPr>
                <w:rFonts w:ascii="Verdana" w:hAnsi="Verdana"/>
                <w:b w:val="0"/>
                <w:sz w:val="18"/>
                <w:szCs w:val="18"/>
              </w:rPr>
              <w:t>8</w:t>
            </w:r>
            <w:r w:rsidRPr="001A5EB2">
              <w:rPr>
                <w:rFonts w:ascii="Verdana" w:hAnsi="Verdana"/>
                <w:b w:val="0"/>
                <w:sz w:val="18"/>
                <w:szCs w:val="18"/>
              </w:rPr>
              <w:t xml:space="preserve">% (de </w:t>
            </w:r>
            <w:r w:rsidR="00092D18" w:rsidRPr="001A5EB2">
              <w:rPr>
                <w:rFonts w:ascii="Verdana" w:hAnsi="Verdana"/>
                <w:b w:val="0"/>
                <w:sz w:val="18"/>
                <w:szCs w:val="18"/>
              </w:rPr>
              <w:t>159</w:t>
            </w:r>
            <w:r w:rsidRPr="001A5EB2">
              <w:rPr>
                <w:rFonts w:ascii="Verdana" w:hAnsi="Verdana"/>
                <w:b w:val="0"/>
                <w:sz w:val="18"/>
                <w:szCs w:val="18"/>
              </w:rPr>
              <w:t xml:space="preserve"> a </w:t>
            </w:r>
            <w:r w:rsidR="00092D18" w:rsidRPr="001A5EB2">
              <w:rPr>
                <w:rFonts w:ascii="Verdana" w:hAnsi="Verdana"/>
                <w:b w:val="0"/>
                <w:sz w:val="18"/>
                <w:szCs w:val="18"/>
              </w:rPr>
              <w:t>14</w:t>
            </w:r>
            <w:r w:rsidR="007F3308">
              <w:rPr>
                <w:rFonts w:ascii="Verdana" w:hAnsi="Verdana"/>
                <w:b w:val="0"/>
                <w:sz w:val="18"/>
                <w:szCs w:val="18"/>
              </w:rPr>
              <w:t>5</w:t>
            </w:r>
            <w:r w:rsidRPr="001A5EB2">
              <w:rPr>
                <w:rFonts w:ascii="Verdana" w:hAnsi="Verdana"/>
                <w:b w:val="0"/>
                <w:sz w:val="18"/>
                <w:szCs w:val="18"/>
              </w:rPr>
              <w:t xml:space="preserve"> naves); revirtiéndose la tendencia al aumento de naves sin certificación, observada durante el año 2018.</w:t>
            </w:r>
          </w:p>
          <w:tbl>
            <w:tblPr>
              <w:tblW w:w="8530" w:type="dxa"/>
              <w:tblCellMar>
                <w:left w:w="0" w:type="dxa"/>
                <w:right w:w="0" w:type="dxa"/>
              </w:tblCellMar>
              <w:tblLook w:val="04A0" w:firstRow="1" w:lastRow="0" w:firstColumn="1" w:lastColumn="0" w:noHBand="0" w:noVBand="1"/>
            </w:tblPr>
            <w:tblGrid>
              <w:gridCol w:w="1848"/>
              <w:gridCol w:w="2811"/>
              <w:gridCol w:w="3871"/>
            </w:tblGrid>
            <w:tr w:rsidR="00CA3107" w:rsidRPr="0059613C" w14:paraId="457B5CC0" w14:textId="77777777" w:rsidTr="0059613C">
              <w:trPr>
                <w:trHeight w:val="610"/>
                <w:tblHeader/>
              </w:trPr>
              <w:tc>
                <w:tcPr>
                  <w:tcW w:w="1848" w:type="dxa"/>
                  <w:tcBorders>
                    <w:top w:val="single" w:sz="8" w:space="0" w:color="auto"/>
                    <w:left w:val="single" w:sz="8" w:space="0" w:color="auto"/>
                    <w:bottom w:val="single" w:sz="8" w:space="0" w:color="auto"/>
                    <w:right w:val="single" w:sz="8" w:space="0" w:color="auto"/>
                  </w:tcBorders>
                  <w:shd w:val="clear" w:color="auto" w:fill="DEEAF6" w:themeFill="accent1" w:themeFillTint="33"/>
                  <w:noWrap/>
                  <w:tcMar>
                    <w:top w:w="0" w:type="dxa"/>
                    <w:left w:w="70" w:type="dxa"/>
                    <w:bottom w:w="0" w:type="dxa"/>
                    <w:right w:w="70" w:type="dxa"/>
                  </w:tcMar>
                  <w:vAlign w:val="center"/>
                  <w:hideMark/>
                </w:tcPr>
                <w:p w14:paraId="12C49891" w14:textId="77777777" w:rsidR="00CA3107" w:rsidRPr="0059613C" w:rsidRDefault="00CA3107" w:rsidP="00B92C02">
                  <w:pPr>
                    <w:spacing w:after="0"/>
                    <w:jc w:val="center"/>
                    <w:rPr>
                      <w:rFonts w:ascii="Verdana" w:hAnsi="Verdana"/>
                      <w:sz w:val="18"/>
                      <w:szCs w:val="18"/>
                    </w:rPr>
                  </w:pPr>
                  <w:r w:rsidRPr="0059613C">
                    <w:rPr>
                      <w:rFonts w:ascii="Verdana" w:hAnsi="Verdana"/>
                      <w:b/>
                      <w:bCs/>
                      <w:sz w:val="18"/>
                      <w:szCs w:val="18"/>
                      <w:lang w:eastAsia="es-CL"/>
                    </w:rPr>
                    <w:t>R</w:t>
                  </w:r>
                  <w:r w:rsidR="00B92C02" w:rsidRPr="0059613C">
                    <w:rPr>
                      <w:rFonts w:ascii="Verdana" w:hAnsi="Verdana"/>
                      <w:b/>
                      <w:bCs/>
                      <w:sz w:val="18"/>
                      <w:szCs w:val="18"/>
                      <w:lang w:eastAsia="es-CL"/>
                    </w:rPr>
                    <w:t>egión</w:t>
                  </w:r>
                </w:p>
              </w:tc>
              <w:tc>
                <w:tcPr>
                  <w:tcW w:w="2811" w:type="dxa"/>
                  <w:tcBorders>
                    <w:top w:val="single" w:sz="8" w:space="0" w:color="auto"/>
                    <w:left w:val="nil"/>
                    <w:bottom w:val="single" w:sz="8" w:space="0" w:color="auto"/>
                    <w:right w:val="single" w:sz="4" w:space="0" w:color="auto"/>
                  </w:tcBorders>
                  <w:shd w:val="clear" w:color="auto" w:fill="DEEAF6" w:themeFill="accent1" w:themeFillTint="33"/>
                </w:tcPr>
                <w:p w14:paraId="1B1DB0F2" w14:textId="77777777" w:rsidR="00CA3107" w:rsidRPr="0059613C" w:rsidRDefault="00CA3107" w:rsidP="00CA3107">
                  <w:pPr>
                    <w:spacing w:after="0"/>
                    <w:jc w:val="center"/>
                    <w:rPr>
                      <w:rFonts w:ascii="Verdana" w:hAnsi="Verdana"/>
                      <w:b/>
                      <w:bCs/>
                      <w:sz w:val="18"/>
                      <w:szCs w:val="18"/>
                      <w:lang w:eastAsia="es-CL"/>
                    </w:rPr>
                  </w:pPr>
                  <w:r w:rsidRPr="0059613C">
                    <w:rPr>
                      <w:rFonts w:ascii="Verdana" w:hAnsi="Verdana"/>
                      <w:b/>
                      <w:bCs/>
                      <w:sz w:val="18"/>
                      <w:szCs w:val="18"/>
                      <w:lang w:eastAsia="es-CL"/>
                    </w:rPr>
                    <w:t>Número total de Naves de Riesgo alto</w:t>
                  </w:r>
                </w:p>
              </w:tc>
              <w:tc>
                <w:tcPr>
                  <w:tcW w:w="3871" w:type="dxa"/>
                  <w:tcBorders>
                    <w:top w:val="single" w:sz="8" w:space="0" w:color="auto"/>
                    <w:left w:val="single" w:sz="4" w:space="0" w:color="auto"/>
                    <w:bottom w:val="single" w:sz="8" w:space="0" w:color="auto"/>
                    <w:right w:val="single" w:sz="8" w:space="0" w:color="auto"/>
                  </w:tcBorders>
                  <w:shd w:val="clear" w:color="auto" w:fill="DEEAF6" w:themeFill="accent1" w:themeFillTint="33"/>
                  <w:noWrap/>
                  <w:tcMar>
                    <w:top w:w="0" w:type="dxa"/>
                    <w:left w:w="70" w:type="dxa"/>
                    <w:bottom w:w="0" w:type="dxa"/>
                    <w:right w:w="70" w:type="dxa"/>
                  </w:tcMar>
                  <w:vAlign w:val="center"/>
                  <w:hideMark/>
                </w:tcPr>
                <w:p w14:paraId="5D19E537" w14:textId="77777777" w:rsidR="00CA3107" w:rsidRPr="0059613C" w:rsidRDefault="0066397A" w:rsidP="00CA3107">
                  <w:pPr>
                    <w:spacing w:after="0"/>
                    <w:jc w:val="center"/>
                    <w:rPr>
                      <w:rFonts w:ascii="Verdana" w:hAnsi="Verdana"/>
                      <w:b/>
                      <w:sz w:val="18"/>
                      <w:szCs w:val="18"/>
                    </w:rPr>
                  </w:pPr>
                  <w:r w:rsidRPr="0059613C">
                    <w:rPr>
                      <w:rFonts w:ascii="Verdana" w:hAnsi="Verdana"/>
                      <w:b/>
                      <w:bCs/>
                      <w:sz w:val="18"/>
                      <w:szCs w:val="18"/>
                      <w:lang w:eastAsia="es-CL"/>
                    </w:rPr>
                    <w:t>Número de Naves de Riesgo alto sometidas a inspección obligatoria y específica para la detección de PGRA</w:t>
                  </w:r>
                </w:p>
              </w:tc>
            </w:tr>
            <w:tr w:rsidR="0066397A" w:rsidRPr="0059613C" w14:paraId="0AA70873" w14:textId="77777777" w:rsidTr="009375B1">
              <w:trPr>
                <w:trHeight w:val="63"/>
              </w:trPr>
              <w:tc>
                <w:tcPr>
                  <w:tcW w:w="1848"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8A20F90" w14:textId="77777777" w:rsidR="0066397A" w:rsidRPr="0059613C" w:rsidRDefault="0066397A" w:rsidP="0066397A">
                  <w:pPr>
                    <w:spacing w:after="0"/>
                    <w:rPr>
                      <w:rFonts w:ascii="Verdana" w:hAnsi="Verdana"/>
                      <w:sz w:val="18"/>
                      <w:szCs w:val="18"/>
                    </w:rPr>
                  </w:pPr>
                  <w:r w:rsidRPr="0059613C">
                    <w:rPr>
                      <w:rFonts w:ascii="Verdana" w:hAnsi="Verdana"/>
                      <w:sz w:val="18"/>
                      <w:szCs w:val="18"/>
                      <w:lang w:eastAsia="es-CL"/>
                    </w:rPr>
                    <w:t>Arica y Parinacota</w:t>
                  </w:r>
                </w:p>
              </w:tc>
              <w:tc>
                <w:tcPr>
                  <w:tcW w:w="2811" w:type="dxa"/>
                  <w:tcBorders>
                    <w:top w:val="single" w:sz="8" w:space="0" w:color="auto"/>
                    <w:left w:val="nil"/>
                    <w:bottom w:val="single" w:sz="8" w:space="0" w:color="auto"/>
                    <w:right w:val="single" w:sz="4" w:space="0" w:color="auto"/>
                  </w:tcBorders>
                </w:tcPr>
                <w:p w14:paraId="6C3BCAAC" w14:textId="77777777" w:rsidR="0066397A" w:rsidRPr="0059613C" w:rsidRDefault="0066397A" w:rsidP="0066397A">
                  <w:pPr>
                    <w:spacing w:after="0"/>
                    <w:jc w:val="center"/>
                    <w:rPr>
                      <w:rFonts w:ascii="Verdana" w:hAnsi="Verdana"/>
                      <w:sz w:val="18"/>
                      <w:szCs w:val="18"/>
                      <w:lang w:eastAsia="es-CL"/>
                    </w:rPr>
                  </w:pPr>
                  <w:r w:rsidRPr="0059613C">
                    <w:rPr>
                      <w:rFonts w:ascii="Verdana" w:hAnsi="Verdana"/>
                      <w:sz w:val="18"/>
                      <w:szCs w:val="18"/>
                      <w:lang w:eastAsia="es-CL"/>
                    </w:rPr>
                    <w:t>9</w:t>
                  </w:r>
                </w:p>
              </w:tc>
              <w:tc>
                <w:tcPr>
                  <w:tcW w:w="3871" w:type="dxa"/>
                  <w:tcBorders>
                    <w:top w:val="single" w:sz="8" w:space="0" w:color="auto"/>
                    <w:left w:val="single" w:sz="4" w:space="0" w:color="auto"/>
                    <w:bottom w:val="single" w:sz="8" w:space="0" w:color="auto"/>
                    <w:right w:val="single" w:sz="8" w:space="0" w:color="auto"/>
                  </w:tcBorders>
                  <w:noWrap/>
                  <w:tcMar>
                    <w:top w:w="0" w:type="dxa"/>
                    <w:left w:w="70" w:type="dxa"/>
                    <w:bottom w:w="0" w:type="dxa"/>
                    <w:right w:w="70" w:type="dxa"/>
                  </w:tcMar>
                </w:tcPr>
                <w:p w14:paraId="4CDB0DA3" w14:textId="77777777" w:rsidR="0066397A" w:rsidRPr="0059613C" w:rsidRDefault="0066397A" w:rsidP="0066397A">
                  <w:pPr>
                    <w:spacing w:after="0"/>
                    <w:jc w:val="center"/>
                    <w:rPr>
                      <w:rFonts w:ascii="Verdana" w:hAnsi="Verdana"/>
                      <w:sz w:val="18"/>
                      <w:szCs w:val="18"/>
                      <w:lang w:eastAsia="es-CL"/>
                    </w:rPr>
                  </w:pPr>
                  <w:r w:rsidRPr="0059613C">
                    <w:rPr>
                      <w:rFonts w:ascii="Verdana" w:hAnsi="Verdana"/>
                      <w:sz w:val="18"/>
                      <w:szCs w:val="18"/>
                      <w:lang w:eastAsia="es-CL"/>
                    </w:rPr>
                    <w:t>9</w:t>
                  </w:r>
                </w:p>
              </w:tc>
            </w:tr>
            <w:tr w:rsidR="0066397A" w:rsidRPr="0059613C" w14:paraId="42CF3575" w14:textId="77777777" w:rsidTr="009375B1">
              <w:trPr>
                <w:trHeight w:val="63"/>
              </w:trPr>
              <w:tc>
                <w:tcPr>
                  <w:tcW w:w="1848"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14:paraId="44FBDC46" w14:textId="77777777" w:rsidR="0066397A" w:rsidRPr="0059613C" w:rsidRDefault="0066397A" w:rsidP="0066397A">
                  <w:pPr>
                    <w:spacing w:after="0"/>
                    <w:rPr>
                      <w:rFonts w:ascii="Verdana" w:hAnsi="Verdana"/>
                      <w:sz w:val="18"/>
                      <w:szCs w:val="18"/>
                      <w:lang w:eastAsia="es-CL"/>
                    </w:rPr>
                  </w:pPr>
                  <w:r w:rsidRPr="0059613C">
                    <w:rPr>
                      <w:rFonts w:ascii="Verdana" w:hAnsi="Verdana"/>
                      <w:sz w:val="18"/>
                      <w:szCs w:val="18"/>
                      <w:lang w:eastAsia="es-CL"/>
                    </w:rPr>
                    <w:t>Tarapacá</w:t>
                  </w:r>
                </w:p>
              </w:tc>
              <w:tc>
                <w:tcPr>
                  <w:tcW w:w="2811" w:type="dxa"/>
                  <w:tcBorders>
                    <w:top w:val="single" w:sz="8" w:space="0" w:color="auto"/>
                    <w:left w:val="nil"/>
                    <w:bottom w:val="single" w:sz="8" w:space="0" w:color="auto"/>
                    <w:right w:val="single" w:sz="4" w:space="0" w:color="auto"/>
                  </w:tcBorders>
                </w:tcPr>
                <w:p w14:paraId="0D3E41A0" w14:textId="77777777" w:rsidR="0066397A" w:rsidRPr="0059613C" w:rsidRDefault="00943A5F" w:rsidP="00943A5F">
                  <w:pPr>
                    <w:spacing w:after="0"/>
                    <w:jc w:val="center"/>
                    <w:rPr>
                      <w:rFonts w:ascii="Verdana" w:hAnsi="Verdana"/>
                      <w:sz w:val="18"/>
                      <w:szCs w:val="18"/>
                      <w:lang w:eastAsia="es-CL"/>
                    </w:rPr>
                  </w:pPr>
                  <w:r>
                    <w:rPr>
                      <w:rFonts w:ascii="Verdana" w:hAnsi="Verdana"/>
                      <w:sz w:val="18"/>
                      <w:szCs w:val="18"/>
                      <w:lang w:eastAsia="es-CL"/>
                    </w:rPr>
                    <w:t>13</w:t>
                  </w:r>
                </w:p>
              </w:tc>
              <w:tc>
                <w:tcPr>
                  <w:tcW w:w="3871" w:type="dxa"/>
                  <w:tcBorders>
                    <w:top w:val="single" w:sz="8" w:space="0" w:color="auto"/>
                    <w:left w:val="single" w:sz="4" w:space="0" w:color="auto"/>
                    <w:bottom w:val="single" w:sz="8" w:space="0" w:color="auto"/>
                    <w:right w:val="single" w:sz="8" w:space="0" w:color="auto"/>
                  </w:tcBorders>
                  <w:noWrap/>
                  <w:tcMar>
                    <w:top w:w="0" w:type="dxa"/>
                    <w:left w:w="70" w:type="dxa"/>
                    <w:bottom w:w="0" w:type="dxa"/>
                    <w:right w:w="70" w:type="dxa"/>
                  </w:tcMar>
                </w:tcPr>
                <w:p w14:paraId="28684296" w14:textId="77777777" w:rsidR="0066397A" w:rsidRPr="0059613C" w:rsidRDefault="0066397A" w:rsidP="00943A5F">
                  <w:pPr>
                    <w:spacing w:after="0"/>
                    <w:jc w:val="center"/>
                    <w:rPr>
                      <w:rFonts w:ascii="Verdana" w:hAnsi="Verdana"/>
                      <w:sz w:val="18"/>
                      <w:szCs w:val="18"/>
                      <w:lang w:eastAsia="es-CL"/>
                    </w:rPr>
                  </w:pPr>
                  <w:r w:rsidRPr="0059613C">
                    <w:rPr>
                      <w:rFonts w:ascii="Verdana" w:hAnsi="Verdana"/>
                      <w:sz w:val="18"/>
                      <w:szCs w:val="18"/>
                      <w:lang w:eastAsia="es-CL"/>
                    </w:rPr>
                    <w:t>1</w:t>
                  </w:r>
                  <w:r w:rsidR="00943A5F">
                    <w:rPr>
                      <w:rFonts w:ascii="Verdana" w:hAnsi="Verdana"/>
                      <w:sz w:val="18"/>
                      <w:szCs w:val="18"/>
                      <w:lang w:eastAsia="es-CL"/>
                    </w:rPr>
                    <w:t>3</w:t>
                  </w:r>
                </w:p>
              </w:tc>
            </w:tr>
            <w:tr w:rsidR="0066397A" w:rsidRPr="0059613C" w14:paraId="68A02695" w14:textId="77777777" w:rsidTr="009375B1">
              <w:trPr>
                <w:trHeight w:val="63"/>
              </w:trPr>
              <w:tc>
                <w:tcPr>
                  <w:tcW w:w="1848"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14:paraId="22428F7D" w14:textId="77777777" w:rsidR="0066397A" w:rsidRPr="0059613C" w:rsidRDefault="0066397A" w:rsidP="0066397A">
                  <w:pPr>
                    <w:spacing w:after="0"/>
                    <w:rPr>
                      <w:rFonts w:ascii="Verdana" w:hAnsi="Verdana"/>
                      <w:sz w:val="18"/>
                      <w:szCs w:val="18"/>
                      <w:lang w:eastAsia="es-CL"/>
                    </w:rPr>
                  </w:pPr>
                  <w:r w:rsidRPr="0059613C">
                    <w:rPr>
                      <w:rFonts w:ascii="Verdana" w:hAnsi="Verdana"/>
                      <w:sz w:val="18"/>
                      <w:szCs w:val="18"/>
                      <w:lang w:eastAsia="es-CL"/>
                    </w:rPr>
                    <w:t>Antofagasta</w:t>
                  </w:r>
                </w:p>
              </w:tc>
              <w:tc>
                <w:tcPr>
                  <w:tcW w:w="2811" w:type="dxa"/>
                  <w:tcBorders>
                    <w:top w:val="single" w:sz="8" w:space="0" w:color="auto"/>
                    <w:left w:val="nil"/>
                    <w:bottom w:val="single" w:sz="8" w:space="0" w:color="auto"/>
                    <w:right w:val="single" w:sz="4" w:space="0" w:color="auto"/>
                  </w:tcBorders>
                </w:tcPr>
                <w:p w14:paraId="6E877AE9" w14:textId="77777777" w:rsidR="0066397A" w:rsidRPr="0059613C" w:rsidRDefault="0066397A" w:rsidP="00092D18">
                  <w:pPr>
                    <w:spacing w:after="0"/>
                    <w:jc w:val="center"/>
                    <w:rPr>
                      <w:rFonts w:ascii="Verdana" w:hAnsi="Verdana"/>
                      <w:sz w:val="18"/>
                      <w:szCs w:val="18"/>
                      <w:lang w:eastAsia="es-CL"/>
                    </w:rPr>
                  </w:pPr>
                  <w:r w:rsidRPr="0059613C">
                    <w:rPr>
                      <w:rFonts w:ascii="Verdana" w:hAnsi="Verdana"/>
                      <w:sz w:val="18"/>
                      <w:szCs w:val="18"/>
                      <w:lang w:eastAsia="es-CL"/>
                    </w:rPr>
                    <w:t>3</w:t>
                  </w:r>
                  <w:r w:rsidR="00092D18" w:rsidRPr="0059613C">
                    <w:rPr>
                      <w:rFonts w:ascii="Verdana" w:hAnsi="Verdana"/>
                      <w:sz w:val="18"/>
                      <w:szCs w:val="18"/>
                      <w:lang w:eastAsia="es-CL"/>
                    </w:rPr>
                    <w:t>6</w:t>
                  </w:r>
                </w:p>
              </w:tc>
              <w:tc>
                <w:tcPr>
                  <w:tcW w:w="3871" w:type="dxa"/>
                  <w:tcBorders>
                    <w:top w:val="single" w:sz="8" w:space="0" w:color="auto"/>
                    <w:left w:val="single" w:sz="4" w:space="0" w:color="auto"/>
                    <w:bottom w:val="single" w:sz="8" w:space="0" w:color="auto"/>
                    <w:right w:val="single" w:sz="8" w:space="0" w:color="auto"/>
                  </w:tcBorders>
                  <w:noWrap/>
                  <w:tcMar>
                    <w:top w:w="0" w:type="dxa"/>
                    <w:left w:w="70" w:type="dxa"/>
                    <w:bottom w:w="0" w:type="dxa"/>
                    <w:right w:w="70" w:type="dxa"/>
                  </w:tcMar>
                </w:tcPr>
                <w:p w14:paraId="5E8327F1" w14:textId="77777777" w:rsidR="0066397A" w:rsidRPr="0059613C" w:rsidRDefault="0066397A" w:rsidP="00092D18">
                  <w:pPr>
                    <w:spacing w:after="0"/>
                    <w:jc w:val="center"/>
                    <w:rPr>
                      <w:rFonts w:ascii="Verdana" w:hAnsi="Verdana"/>
                      <w:sz w:val="18"/>
                      <w:szCs w:val="18"/>
                      <w:lang w:eastAsia="es-CL"/>
                    </w:rPr>
                  </w:pPr>
                  <w:r w:rsidRPr="0059613C">
                    <w:rPr>
                      <w:rFonts w:ascii="Verdana" w:hAnsi="Verdana"/>
                      <w:sz w:val="18"/>
                      <w:szCs w:val="18"/>
                      <w:lang w:eastAsia="es-CL"/>
                    </w:rPr>
                    <w:t>3</w:t>
                  </w:r>
                  <w:r w:rsidR="00092D18" w:rsidRPr="0059613C">
                    <w:rPr>
                      <w:rFonts w:ascii="Verdana" w:hAnsi="Verdana"/>
                      <w:sz w:val="18"/>
                      <w:szCs w:val="18"/>
                      <w:lang w:eastAsia="es-CL"/>
                    </w:rPr>
                    <w:t>5</w:t>
                  </w:r>
                </w:p>
              </w:tc>
            </w:tr>
            <w:tr w:rsidR="0066397A" w:rsidRPr="0059613C" w14:paraId="4A95BB00" w14:textId="77777777" w:rsidTr="009375B1">
              <w:trPr>
                <w:trHeight w:val="63"/>
              </w:trPr>
              <w:tc>
                <w:tcPr>
                  <w:tcW w:w="1848"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14:paraId="62F520C2" w14:textId="77777777" w:rsidR="0066397A" w:rsidRPr="0059613C" w:rsidRDefault="0066397A" w:rsidP="0066397A">
                  <w:pPr>
                    <w:spacing w:after="0"/>
                    <w:rPr>
                      <w:rFonts w:ascii="Verdana" w:hAnsi="Verdana"/>
                      <w:sz w:val="18"/>
                      <w:szCs w:val="18"/>
                      <w:lang w:eastAsia="es-CL"/>
                    </w:rPr>
                  </w:pPr>
                  <w:r w:rsidRPr="0059613C">
                    <w:rPr>
                      <w:rFonts w:ascii="Verdana" w:hAnsi="Verdana"/>
                      <w:sz w:val="18"/>
                      <w:szCs w:val="18"/>
                      <w:lang w:eastAsia="es-CL"/>
                    </w:rPr>
                    <w:t>Atacama</w:t>
                  </w:r>
                </w:p>
              </w:tc>
              <w:tc>
                <w:tcPr>
                  <w:tcW w:w="2811" w:type="dxa"/>
                  <w:tcBorders>
                    <w:top w:val="single" w:sz="8" w:space="0" w:color="auto"/>
                    <w:left w:val="nil"/>
                    <w:bottom w:val="single" w:sz="8" w:space="0" w:color="auto"/>
                    <w:right w:val="single" w:sz="4" w:space="0" w:color="auto"/>
                  </w:tcBorders>
                </w:tcPr>
                <w:p w14:paraId="70F68B44" w14:textId="77777777" w:rsidR="0066397A" w:rsidRPr="0059613C" w:rsidRDefault="0066397A" w:rsidP="0066397A">
                  <w:pPr>
                    <w:spacing w:after="0"/>
                    <w:jc w:val="center"/>
                    <w:rPr>
                      <w:rFonts w:ascii="Verdana" w:hAnsi="Verdana"/>
                      <w:sz w:val="18"/>
                      <w:szCs w:val="18"/>
                      <w:lang w:eastAsia="es-CL"/>
                    </w:rPr>
                  </w:pPr>
                  <w:r w:rsidRPr="0059613C">
                    <w:rPr>
                      <w:rFonts w:ascii="Verdana" w:hAnsi="Verdana"/>
                      <w:sz w:val="18"/>
                      <w:szCs w:val="18"/>
                      <w:lang w:eastAsia="es-CL"/>
                    </w:rPr>
                    <w:t>12</w:t>
                  </w:r>
                </w:p>
              </w:tc>
              <w:tc>
                <w:tcPr>
                  <w:tcW w:w="3871" w:type="dxa"/>
                  <w:tcBorders>
                    <w:top w:val="single" w:sz="8" w:space="0" w:color="auto"/>
                    <w:left w:val="single" w:sz="4" w:space="0" w:color="auto"/>
                    <w:bottom w:val="single" w:sz="8" w:space="0" w:color="auto"/>
                    <w:right w:val="single" w:sz="8" w:space="0" w:color="auto"/>
                  </w:tcBorders>
                  <w:noWrap/>
                  <w:tcMar>
                    <w:top w:w="0" w:type="dxa"/>
                    <w:left w:w="70" w:type="dxa"/>
                    <w:bottom w:w="0" w:type="dxa"/>
                    <w:right w:w="70" w:type="dxa"/>
                  </w:tcMar>
                </w:tcPr>
                <w:p w14:paraId="3D4992E9" w14:textId="77777777" w:rsidR="0066397A" w:rsidRPr="0059613C" w:rsidRDefault="0066397A" w:rsidP="0066397A">
                  <w:pPr>
                    <w:spacing w:after="0"/>
                    <w:jc w:val="center"/>
                    <w:rPr>
                      <w:rFonts w:ascii="Verdana" w:hAnsi="Verdana"/>
                      <w:sz w:val="18"/>
                      <w:szCs w:val="18"/>
                      <w:lang w:eastAsia="es-CL"/>
                    </w:rPr>
                  </w:pPr>
                  <w:r w:rsidRPr="0059613C">
                    <w:rPr>
                      <w:rFonts w:ascii="Verdana" w:hAnsi="Verdana"/>
                      <w:sz w:val="18"/>
                      <w:szCs w:val="18"/>
                      <w:lang w:eastAsia="es-CL"/>
                    </w:rPr>
                    <w:t>12</w:t>
                  </w:r>
                </w:p>
              </w:tc>
            </w:tr>
            <w:tr w:rsidR="0066397A" w:rsidRPr="0059613C" w14:paraId="3CDDE9F0" w14:textId="77777777" w:rsidTr="009375B1">
              <w:trPr>
                <w:trHeight w:val="70"/>
              </w:trPr>
              <w:tc>
                <w:tcPr>
                  <w:tcW w:w="1848"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D33DE57" w14:textId="77777777" w:rsidR="0066397A" w:rsidRPr="0059613C" w:rsidRDefault="0066397A" w:rsidP="0066397A">
                  <w:pPr>
                    <w:spacing w:after="0"/>
                    <w:rPr>
                      <w:rFonts w:ascii="Verdana" w:hAnsi="Verdana"/>
                      <w:sz w:val="18"/>
                      <w:szCs w:val="18"/>
                    </w:rPr>
                  </w:pPr>
                  <w:r w:rsidRPr="0059613C">
                    <w:rPr>
                      <w:rFonts w:ascii="Verdana" w:hAnsi="Verdana"/>
                      <w:sz w:val="18"/>
                      <w:szCs w:val="18"/>
                      <w:lang w:eastAsia="es-CL"/>
                    </w:rPr>
                    <w:t>Coquimbo</w:t>
                  </w:r>
                </w:p>
              </w:tc>
              <w:tc>
                <w:tcPr>
                  <w:tcW w:w="2811" w:type="dxa"/>
                  <w:tcBorders>
                    <w:top w:val="single" w:sz="8" w:space="0" w:color="auto"/>
                    <w:left w:val="nil"/>
                    <w:bottom w:val="single" w:sz="8" w:space="0" w:color="auto"/>
                    <w:right w:val="single" w:sz="4" w:space="0" w:color="auto"/>
                  </w:tcBorders>
                </w:tcPr>
                <w:p w14:paraId="79E5ACA8" w14:textId="77777777" w:rsidR="0066397A" w:rsidRPr="0059613C" w:rsidRDefault="0066397A" w:rsidP="0066397A">
                  <w:pPr>
                    <w:spacing w:after="0"/>
                    <w:jc w:val="center"/>
                    <w:rPr>
                      <w:rFonts w:ascii="Verdana" w:hAnsi="Verdana"/>
                      <w:sz w:val="18"/>
                      <w:szCs w:val="18"/>
                      <w:lang w:eastAsia="es-CL"/>
                    </w:rPr>
                  </w:pPr>
                  <w:r w:rsidRPr="0059613C">
                    <w:rPr>
                      <w:rFonts w:ascii="Verdana" w:hAnsi="Verdana"/>
                      <w:sz w:val="18"/>
                      <w:szCs w:val="18"/>
                      <w:lang w:eastAsia="es-CL"/>
                    </w:rPr>
                    <w:t>5</w:t>
                  </w:r>
                </w:p>
              </w:tc>
              <w:tc>
                <w:tcPr>
                  <w:tcW w:w="3871" w:type="dxa"/>
                  <w:tcBorders>
                    <w:top w:val="single" w:sz="8" w:space="0" w:color="auto"/>
                    <w:left w:val="single" w:sz="4" w:space="0" w:color="auto"/>
                    <w:bottom w:val="single" w:sz="8" w:space="0" w:color="auto"/>
                    <w:right w:val="single" w:sz="8" w:space="0" w:color="auto"/>
                  </w:tcBorders>
                  <w:noWrap/>
                  <w:tcMar>
                    <w:top w:w="0" w:type="dxa"/>
                    <w:left w:w="70" w:type="dxa"/>
                    <w:bottom w:w="0" w:type="dxa"/>
                    <w:right w:w="70" w:type="dxa"/>
                  </w:tcMar>
                </w:tcPr>
                <w:p w14:paraId="7B1DAF60" w14:textId="77777777" w:rsidR="0066397A" w:rsidRPr="0059613C" w:rsidRDefault="0066397A" w:rsidP="0066397A">
                  <w:pPr>
                    <w:spacing w:after="0"/>
                    <w:jc w:val="center"/>
                    <w:rPr>
                      <w:rFonts w:ascii="Verdana" w:hAnsi="Verdana"/>
                      <w:sz w:val="18"/>
                      <w:szCs w:val="18"/>
                      <w:lang w:eastAsia="es-CL"/>
                    </w:rPr>
                  </w:pPr>
                  <w:r w:rsidRPr="0059613C">
                    <w:rPr>
                      <w:rFonts w:ascii="Verdana" w:hAnsi="Verdana"/>
                      <w:sz w:val="18"/>
                      <w:szCs w:val="18"/>
                      <w:lang w:eastAsia="es-CL"/>
                    </w:rPr>
                    <w:t>5</w:t>
                  </w:r>
                </w:p>
              </w:tc>
            </w:tr>
            <w:tr w:rsidR="0066397A" w:rsidRPr="0059613C" w14:paraId="1D904774" w14:textId="77777777" w:rsidTr="009375B1">
              <w:trPr>
                <w:trHeight w:val="70"/>
              </w:trPr>
              <w:tc>
                <w:tcPr>
                  <w:tcW w:w="1848"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86483F7" w14:textId="77777777" w:rsidR="0066397A" w:rsidRPr="0059613C" w:rsidRDefault="0066397A" w:rsidP="0066397A">
                  <w:pPr>
                    <w:spacing w:after="0"/>
                    <w:rPr>
                      <w:rFonts w:ascii="Verdana" w:hAnsi="Verdana"/>
                      <w:sz w:val="18"/>
                      <w:szCs w:val="18"/>
                    </w:rPr>
                  </w:pPr>
                  <w:r w:rsidRPr="0059613C">
                    <w:rPr>
                      <w:rFonts w:ascii="Verdana" w:hAnsi="Verdana"/>
                      <w:sz w:val="18"/>
                      <w:szCs w:val="18"/>
                      <w:lang w:eastAsia="es-CL"/>
                    </w:rPr>
                    <w:t>Valparaíso</w:t>
                  </w:r>
                </w:p>
              </w:tc>
              <w:tc>
                <w:tcPr>
                  <w:tcW w:w="2811" w:type="dxa"/>
                  <w:tcBorders>
                    <w:top w:val="single" w:sz="8" w:space="0" w:color="auto"/>
                    <w:left w:val="nil"/>
                    <w:bottom w:val="single" w:sz="8" w:space="0" w:color="auto"/>
                    <w:right w:val="single" w:sz="4" w:space="0" w:color="auto"/>
                  </w:tcBorders>
                </w:tcPr>
                <w:p w14:paraId="33276429" w14:textId="77777777" w:rsidR="0066397A" w:rsidRPr="0059613C" w:rsidRDefault="0066397A" w:rsidP="0066397A">
                  <w:pPr>
                    <w:spacing w:after="0"/>
                    <w:jc w:val="center"/>
                    <w:rPr>
                      <w:rFonts w:ascii="Verdana" w:hAnsi="Verdana"/>
                      <w:sz w:val="18"/>
                      <w:szCs w:val="18"/>
                      <w:lang w:eastAsia="es-CL"/>
                    </w:rPr>
                  </w:pPr>
                  <w:r w:rsidRPr="0059613C">
                    <w:rPr>
                      <w:rFonts w:ascii="Verdana" w:hAnsi="Verdana"/>
                      <w:sz w:val="18"/>
                      <w:szCs w:val="18"/>
                      <w:lang w:eastAsia="es-CL"/>
                    </w:rPr>
                    <w:t>49</w:t>
                  </w:r>
                </w:p>
              </w:tc>
              <w:tc>
                <w:tcPr>
                  <w:tcW w:w="3871" w:type="dxa"/>
                  <w:tcBorders>
                    <w:top w:val="single" w:sz="8" w:space="0" w:color="auto"/>
                    <w:left w:val="single" w:sz="4" w:space="0" w:color="auto"/>
                    <w:bottom w:val="single" w:sz="8" w:space="0" w:color="auto"/>
                    <w:right w:val="single" w:sz="8" w:space="0" w:color="auto"/>
                  </w:tcBorders>
                  <w:noWrap/>
                  <w:tcMar>
                    <w:top w:w="0" w:type="dxa"/>
                    <w:left w:w="70" w:type="dxa"/>
                    <w:bottom w:w="0" w:type="dxa"/>
                    <w:right w:w="70" w:type="dxa"/>
                  </w:tcMar>
                </w:tcPr>
                <w:p w14:paraId="093A5309" w14:textId="77777777" w:rsidR="0066397A" w:rsidRPr="0059613C" w:rsidRDefault="0066397A" w:rsidP="0066397A">
                  <w:pPr>
                    <w:spacing w:after="0"/>
                    <w:jc w:val="center"/>
                    <w:rPr>
                      <w:rFonts w:ascii="Verdana" w:hAnsi="Verdana"/>
                      <w:sz w:val="18"/>
                      <w:szCs w:val="18"/>
                      <w:lang w:eastAsia="es-CL"/>
                    </w:rPr>
                  </w:pPr>
                  <w:r w:rsidRPr="0059613C">
                    <w:rPr>
                      <w:rFonts w:ascii="Verdana" w:hAnsi="Verdana"/>
                      <w:sz w:val="18"/>
                      <w:szCs w:val="18"/>
                      <w:lang w:eastAsia="es-CL"/>
                    </w:rPr>
                    <w:t>49</w:t>
                  </w:r>
                </w:p>
              </w:tc>
            </w:tr>
            <w:tr w:rsidR="0066397A" w:rsidRPr="0059613C" w14:paraId="567DA8AD" w14:textId="77777777" w:rsidTr="009375B1">
              <w:trPr>
                <w:trHeight w:val="70"/>
              </w:trPr>
              <w:tc>
                <w:tcPr>
                  <w:tcW w:w="1848"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311F60C" w14:textId="77777777" w:rsidR="0066397A" w:rsidRPr="0059613C" w:rsidRDefault="0066397A" w:rsidP="0066397A">
                  <w:pPr>
                    <w:spacing w:after="0"/>
                    <w:rPr>
                      <w:rFonts w:ascii="Verdana" w:hAnsi="Verdana"/>
                      <w:sz w:val="18"/>
                      <w:szCs w:val="18"/>
                    </w:rPr>
                  </w:pPr>
                  <w:r w:rsidRPr="0059613C">
                    <w:rPr>
                      <w:rFonts w:ascii="Verdana" w:hAnsi="Verdana"/>
                      <w:sz w:val="18"/>
                      <w:szCs w:val="18"/>
                      <w:lang w:eastAsia="es-CL"/>
                    </w:rPr>
                    <w:t>Biobío</w:t>
                  </w:r>
                </w:p>
              </w:tc>
              <w:tc>
                <w:tcPr>
                  <w:tcW w:w="2811" w:type="dxa"/>
                  <w:tcBorders>
                    <w:top w:val="single" w:sz="8" w:space="0" w:color="auto"/>
                    <w:left w:val="nil"/>
                    <w:bottom w:val="single" w:sz="8" w:space="0" w:color="auto"/>
                    <w:right w:val="single" w:sz="4" w:space="0" w:color="auto"/>
                  </w:tcBorders>
                </w:tcPr>
                <w:p w14:paraId="2318FA16" w14:textId="77777777" w:rsidR="0066397A" w:rsidRPr="0059613C" w:rsidRDefault="0066397A" w:rsidP="0066397A">
                  <w:pPr>
                    <w:spacing w:after="0"/>
                    <w:jc w:val="center"/>
                    <w:rPr>
                      <w:rFonts w:ascii="Verdana" w:hAnsi="Verdana"/>
                      <w:sz w:val="18"/>
                      <w:szCs w:val="18"/>
                      <w:lang w:eastAsia="es-CL"/>
                    </w:rPr>
                  </w:pPr>
                  <w:r w:rsidRPr="0059613C">
                    <w:rPr>
                      <w:rFonts w:ascii="Verdana" w:hAnsi="Verdana"/>
                      <w:sz w:val="18"/>
                      <w:szCs w:val="18"/>
                      <w:lang w:eastAsia="es-CL"/>
                    </w:rPr>
                    <w:t>14</w:t>
                  </w:r>
                </w:p>
              </w:tc>
              <w:tc>
                <w:tcPr>
                  <w:tcW w:w="3871" w:type="dxa"/>
                  <w:tcBorders>
                    <w:top w:val="single" w:sz="8" w:space="0" w:color="auto"/>
                    <w:left w:val="single" w:sz="4" w:space="0" w:color="auto"/>
                    <w:bottom w:val="single" w:sz="8" w:space="0" w:color="auto"/>
                    <w:right w:val="single" w:sz="8" w:space="0" w:color="auto"/>
                  </w:tcBorders>
                  <w:noWrap/>
                  <w:tcMar>
                    <w:top w:w="0" w:type="dxa"/>
                    <w:left w:w="70" w:type="dxa"/>
                    <w:bottom w:w="0" w:type="dxa"/>
                    <w:right w:w="70" w:type="dxa"/>
                  </w:tcMar>
                </w:tcPr>
                <w:p w14:paraId="103EDBA9" w14:textId="77777777" w:rsidR="0066397A" w:rsidRPr="0059613C" w:rsidRDefault="0066397A" w:rsidP="0066397A">
                  <w:pPr>
                    <w:spacing w:after="0"/>
                    <w:jc w:val="center"/>
                    <w:rPr>
                      <w:rFonts w:ascii="Verdana" w:hAnsi="Verdana"/>
                      <w:sz w:val="18"/>
                      <w:szCs w:val="18"/>
                      <w:lang w:eastAsia="es-CL"/>
                    </w:rPr>
                  </w:pPr>
                  <w:r w:rsidRPr="0059613C">
                    <w:rPr>
                      <w:rFonts w:ascii="Verdana" w:hAnsi="Verdana"/>
                      <w:sz w:val="18"/>
                      <w:szCs w:val="18"/>
                      <w:lang w:eastAsia="es-CL"/>
                    </w:rPr>
                    <w:t>14</w:t>
                  </w:r>
                </w:p>
              </w:tc>
            </w:tr>
            <w:tr w:rsidR="0066397A" w:rsidRPr="0059613C" w14:paraId="573B8C60" w14:textId="77777777" w:rsidTr="009375B1">
              <w:trPr>
                <w:trHeight w:val="70"/>
              </w:trPr>
              <w:tc>
                <w:tcPr>
                  <w:tcW w:w="1848"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14:paraId="2DBCDD39" w14:textId="77777777" w:rsidR="0066397A" w:rsidRPr="0059613C" w:rsidRDefault="0066397A" w:rsidP="0066397A">
                  <w:pPr>
                    <w:spacing w:after="0"/>
                    <w:rPr>
                      <w:rFonts w:ascii="Verdana" w:hAnsi="Verdana"/>
                      <w:sz w:val="18"/>
                      <w:szCs w:val="18"/>
                      <w:lang w:eastAsia="es-CL"/>
                    </w:rPr>
                  </w:pPr>
                  <w:r w:rsidRPr="0059613C">
                    <w:rPr>
                      <w:rFonts w:ascii="Verdana" w:hAnsi="Verdana"/>
                      <w:sz w:val="18"/>
                      <w:szCs w:val="18"/>
                      <w:lang w:eastAsia="es-CL"/>
                    </w:rPr>
                    <w:t>Los Lagos</w:t>
                  </w:r>
                </w:p>
              </w:tc>
              <w:tc>
                <w:tcPr>
                  <w:tcW w:w="2811" w:type="dxa"/>
                  <w:tcBorders>
                    <w:top w:val="single" w:sz="8" w:space="0" w:color="auto"/>
                    <w:left w:val="nil"/>
                    <w:bottom w:val="single" w:sz="8" w:space="0" w:color="auto"/>
                    <w:right w:val="single" w:sz="4" w:space="0" w:color="auto"/>
                  </w:tcBorders>
                </w:tcPr>
                <w:p w14:paraId="417FAE85" w14:textId="77777777" w:rsidR="0066397A" w:rsidRPr="0059613C" w:rsidRDefault="0066397A" w:rsidP="0066397A">
                  <w:pPr>
                    <w:spacing w:after="0"/>
                    <w:jc w:val="center"/>
                    <w:rPr>
                      <w:rFonts w:ascii="Verdana" w:hAnsi="Verdana"/>
                      <w:sz w:val="18"/>
                      <w:szCs w:val="18"/>
                      <w:lang w:eastAsia="es-CL"/>
                    </w:rPr>
                  </w:pPr>
                  <w:r w:rsidRPr="0059613C">
                    <w:rPr>
                      <w:rFonts w:ascii="Verdana" w:hAnsi="Verdana"/>
                      <w:sz w:val="18"/>
                      <w:szCs w:val="18"/>
                      <w:lang w:eastAsia="es-CL"/>
                    </w:rPr>
                    <w:t>5</w:t>
                  </w:r>
                </w:p>
              </w:tc>
              <w:tc>
                <w:tcPr>
                  <w:tcW w:w="3871" w:type="dxa"/>
                  <w:tcBorders>
                    <w:top w:val="single" w:sz="8" w:space="0" w:color="auto"/>
                    <w:left w:val="single" w:sz="4" w:space="0" w:color="auto"/>
                    <w:bottom w:val="single" w:sz="8" w:space="0" w:color="auto"/>
                    <w:right w:val="single" w:sz="8" w:space="0" w:color="auto"/>
                  </w:tcBorders>
                  <w:noWrap/>
                  <w:tcMar>
                    <w:top w:w="0" w:type="dxa"/>
                    <w:left w:w="70" w:type="dxa"/>
                    <w:bottom w:w="0" w:type="dxa"/>
                    <w:right w:w="70" w:type="dxa"/>
                  </w:tcMar>
                </w:tcPr>
                <w:p w14:paraId="5A5703D9" w14:textId="77777777" w:rsidR="0066397A" w:rsidRPr="0059613C" w:rsidRDefault="0066397A" w:rsidP="0066397A">
                  <w:pPr>
                    <w:spacing w:after="0"/>
                    <w:jc w:val="center"/>
                    <w:rPr>
                      <w:rFonts w:ascii="Verdana" w:hAnsi="Verdana"/>
                      <w:sz w:val="18"/>
                      <w:szCs w:val="18"/>
                      <w:lang w:eastAsia="es-CL"/>
                    </w:rPr>
                  </w:pPr>
                  <w:r w:rsidRPr="0059613C">
                    <w:rPr>
                      <w:rFonts w:ascii="Verdana" w:hAnsi="Verdana"/>
                      <w:sz w:val="18"/>
                      <w:szCs w:val="18"/>
                      <w:lang w:eastAsia="es-CL"/>
                    </w:rPr>
                    <w:t>5</w:t>
                  </w:r>
                </w:p>
              </w:tc>
            </w:tr>
            <w:tr w:rsidR="0066397A" w:rsidRPr="0059613C" w14:paraId="48167CED" w14:textId="77777777" w:rsidTr="009375B1">
              <w:trPr>
                <w:trHeight w:val="70"/>
              </w:trPr>
              <w:tc>
                <w:tcPr>
                  <w:tcW w:w="1848"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28511F9" w14:textId="77777777" w:rsidR="0066397A" w:rsidRPr="0059613C" w:rsidRDefault="0066397A" w:rsidP="0066397A">
                  <w:pPr>
                    <w:spacing w:after="0"/>
                    <w:rPr>
                      <w:rFonts w:ascii="Verdana" w:hAnsi="Verdana"/>
                      <w:sz w:val="18"/>
                      <w:szCs w:val="18"/>
                    </w:rPr>
                  </w:pPr>
                  <w:r w:rsidRPr="0059613C">
                    <w:rPr>
                      <w:rFonts w:ascii="Verdana" w:hAnsi="Verdana"/>
                      <w:sz w:val="18"/>
                      <w:szCs w:val="18"/>
                      <w:lang w:eastAsia="es-CL"/>
                    </w:rPr>
                    <w:t>Magallanes</w:t>
                  </w:r>
                </w:p>
              </w:tc>
              <w:tc>
                <w:tcPr>
                  <w:tcW w:w="2811" w:type="dxa"/>
                  <w:tcBorders>
                    <w:top w:val="single" w:sz="8" w:space="0" w:color="auto"/>
                    <w:left w:val="nil"/>
                    <w:bottom w:val="single" w:sz="8" w:space="0" w:color="auto"/>
                    <w:right w:val="single" w:sz="4" w:space="0" w:color="auto"/>
                  </w:tcBorders>
                </w:tcPr>
                <w:p w14:paraId="660F41CA" w14:textId="77777777" w:rsidR="0066397A" w:rsidRPr="0059613C" w:rsidRDefault="0066397A" w:rsidP="0066397A">
                  <w:pPr>
                    <w:spacing w:after="0"/>
                    <w:jc w:val="center"/>
                    <w:rPr>
                      <w:rFonts w:ascii="Verdana" w:hAnsi="Verdana"/>
                      <w:sz w:val="18"/>
                      <w:szCs w:val="18"/>
                      <w:lang w:eastAsia="es-CL"/>
                    </w:rPr>
                  </w:pPr>
                  <w:r w:rsidRPr="0059613C">
                    <w:rPr>
                      <w:rFonts w:ascii="Verdana" w:hAnsi="Verdana"/>
                      <w:sz w:val="18"/>
                      <w:szCs w:val="18"/>
                      <w:lang w:eastAsia="es-CL"/>
                    </w:rPr>
                    <w:t>2</w:t>
                  </w:r>
                </w:p>
              </w:tc>
              <w:tc>
                <w:tcPr>
                  <w:tcW w:w="3871" w:type="dxa"/>
                  <w:tcBorders>
                    <w:top w:val="single" w:sz="8" w:space="0" w:color="auto"/>
                    <w:left w:val="single" w:sz="4" w:space="0" w:color="auto"/>
                    <w:bottom w:val="single" w:sz="8" w:space="0" w:color="auto"/>
                    <w:right w:val="single" w:sz="8" w:space="0" w:color="auto"/>
                  </w:tcBorders>
                  <w:noWrap/>
                  <w:tcMar>
                    <w:top w:w="0" w:type="dxa"/>
                    <w:left w:w="70" w:type="dxa"/>
                    <w:bottom w:w="0" w:type="dxa"/>
                    <w:right w:w="70" w:type="dxa"/>
                  </w:tcMar>
                </w:tcPr>
                <w:p w14:paraId="725BD565" w14:textId="77777777" w:rsidR="0066397A" w:rsidRPr="0059613C" w:rsidRDefault="0066397A" w:rsidP="0066397A">
                  <w:pPr>
                    <w:spacing w:after="0"/>
                    <w:jc w:val="center"/>
                    <w:rPr>
                      <w:rFonts w:ascii="Verdana" w:hAnsi="Verdana"/>
                      <w:sz w:val="18"/>
                      <w:szCs w:val="18"/>
                      <w:lang w:eastAsia="es-CL"/>
                    </w:rPr>
                  </w:pPr>
                  <w:r w:rsidRPr="0059613C">
                    <w:rPr>
                      <w:rFonts w:ascii="Verdana" w:hAnsi="Verdana"/>
                      <w:sz w:val="18"/>
                      <w:szCs w:val="18"/>
                      <w:lang w:eastAsia="es-CL"/>
                    </w:rPr>
                    <w:t>2</w:t>
                  </w:r>
                </w:p>
              </w:tc>
            </w:tr>
            <w:tr w:rsidR="0066397A" w:rsidRPr="0059613C" w14:paraId="0F1182BF" w14:textId="77777777" w:rsidTr="0059613C">
              <w:trPr>
                <w:trHeight w:val="70"/>
              </w:trPr>
              <w:tc>
                <w:tcPr>
                  <w:tcW w:w="1848" w:type="dxa"/>
                  <w:tcBorders>
                    <w:top w:val="single" w:sz="8" w:space="0" w:color="auto"/>
                    <w:left w:val="single" w:sz="8" w:space="0" w:color="auto"/>
                    <w:bottom w:val="single" w:sz="8" w:space="0" w:color="auto"/>
                    <w:right w:val="single" w:sz="8" w:space="0" w:color="auto"/>
                  </w:tcBorders>
                  <w:shd w:val="clear" w:color="auto" w:fill="DEEAF6" w:themeFill="accent1" w:themeFillTint="33"/>
                  <w:noWrap/>
                  <w:tcMar>
                    <w:top w:w="0" w:type="dxa"/>
                    <w:left w:w="70" w:type="dxa"/>
                    <w:bottom w:w="0" w:type="dxa"/>
                    <w:right w:w="70" w:type="dxa"/>
                  </w:tcMar>
                  <w:vAlign w:val="bottom"/>
                </w:tcPr>
                <w:p w14:paraId="21C3660B" w14:textId="77777777" w:rsidR="0066397A" w:rsidRPr="0059613C" w:rsidRDefault="0066397A" w:rsidP="0066397A">
                  <w:pPr>
                    <w:spacing w:after="0"/>
                    <w:rPr>
                      <w:rFonts w:ascii="Verdana" w:hAnsi="Verdana"/>
                      <w:sz w:val="18"/>
                      <w:szCs w:val="18"/>
                      <w:lang w:eastAsia="es-CL"/>
                    </w:rPr>
                  </w:pPr>
                  <w:r w:rsidRPr="0059613C">
                    <w:rPr>
                      <w:rFonts w:ascii="Verdana" w:hAnsi="Verdana"/>
                      <w:b/>
                      <w:bCs/>
                      <w:sz w:val="18"/>
                      <w:szCs w:val="18"/>
                      <w:lang w:eastAsia="es-CL"/>
                    </w:rPr>
                    <w:t>Total</w:t>
                  </w:r>
                </w:p>
              </w:tc>
              <w:tc>
                <w:tcPr>
                  <w:tcW w:w="2811" w:type="dxa"/>
                  <w:tcBorders>
                    <w:top w:val="single" w:sz="8" w:space="0" w:color="auto"/>
                    <w:left w:val="nil"/>
                    <w:bottom w:val="single" w:sz="8" w:space="0" w:color="auto"/>
                    <w:right w:val="single" w:sz="4" w:space="0" w:color="auto"/>
                  </w:tcBorders>
                  <w:shd w:val="clear" w:color="auto" w:fill="DEEAF6" w:themeFill="accent1" w:themeFillTint="33"/>
                </w:tcPr>
                <w:p w14:paraId="602E7495" w14:textId="77777777" w:rsidR="0066397A" w:rsidRPr="0059613C" w:rsidRDefault="0066397A" w:rsidP="000C6EFA">
                  <w:pPr>
                    <w:spacing w:after="0"/>
                    <w:jc w:val="center"/>
                    <w:rPr>
                      <w:rFonts w:ascii="Verdana" w:hAnsi="Verdana"/>
                      <w:b/>
                      <w:sz w:val="18"/>
                      <w:szCs w:val="18"/>
                      <w:lang w:eastAsia="es-CL"/>
                    </w:rPr>
                  </w:pPr>
                  <w:r w:rsidRPr="0059613C">
                    <w:rPr>
                      <w:rFonts w:ascii="Verdana" w:hAnsi="Verdana"/>
                      <w:b/>
                      <w:sz w:val="18"/>
                      <w:szCs w:val="18"/>
                      <w:lang w:eastAsia="es-CL"/>
                    </w:rPr>
                    <w:t>14</w:t>
                  </w:r>
                  <w:r w:rsidR="000C6EFA">
                    <w:rPr>
                      <w:rFonts w:ascii="Verdana" w:hAnsi="Verdana"/>
                      <w:b/>
                      <w:sz w:val="18"/>
                      <w:szCs w:val="18"/>
                      <w:lang w:eastAsia="es-CL"/>
                    </w:rPr>
                    <w:t>5</w:t>
                  </w:r>
                </w:p>
              </w:tc>
              <w:tc>
                <w:tcPr>
                  <w:tcW w:w="3871" w:type="dxa"/>
                  <w:tcBorders>
                    <w:top w:val="single" w:sz="8" w:space="0" w:color="auto"/>
                    <w:left w:val="single" w:sz="4" w:space="0" w:color="auto"/>
                    <w:bottom w:val="single" w:sz="8" w:space="0" w:color="auto"/>
                    <w:right w:val="single" w:sz="8" w:space="0" w:color="auto"/>
                  </w:tcBorders>
                  <w:shd w:val="clear" w:color="auto" w:fill="DEEAF6" w:themeFill="accent1" w:themeFillTint="33"/>
                  <w:noWrap/>
                  <w:tcMar>
                    <w:top w:w="0" w:type="dxa"/>
                    <w:left w:w="70" w:type="dxa"/>
                    <w:bottom w:w="0" w:type="dxa"/>
                    <w:right w:w="70" w:type="dxa"/>
                  </w:tcMar>
                </w:tcPr>
                <w:p w14:paraId="713B67FF" w14:textId="77777777" w:rsidR="0066397A" w:rsidRPr="0059613C" w:rsidRDefault="0066397A" w:rsidP="000C6EFA">
                  <w:pPr>
                    <w:spacing w:after="0"/>
                    <w:jc w:val="center"/>
                    <w:rPr>
                      <w:rFonts w:ascii="Verdana" w:hAnsi="Verdana"/>
                      <w:b/>
                      <w:sz w:val="18"/>
                      <w:szCs w:val="18"/>
                      <w:lang w:eastAsia="es-CL"/>
                    </w:rPr>
                  </w:pPr>
                  <w:r w:rsidRPr="0059613C">
                    <w:rPr>
                      <w:rFonts w:ascii="Verdana" w:hAnsi="Verdana"/>
                      <w:b/>
                      <w:sz w:val="18"/>
                      <w:szCs w:val="18"/>
                      <w:lang w:eastAsia="es-CL"/>
                    </w:rPr>
                    <w:t>14</w:t>
                  </w:r>
                  <w:r w:rsidR="000C6EFA">
                    <w:rPr>
                      <w:rFonts w:ascii="Verdana" w:hAnsi="Verdana"/>
                      <w:b/>
                      <w:sz w:val="18"/>
                      <w:szCs w:val="18"/>
                      <w:lang w:eastAsia="es-CL"/>
                    </w:rPr>
                    <w:t>4</w:t>
                  </w:r>
                </w:p>
              </w:tc>
            </w:tr>
          </w:tbl>
          <w:p w14:paraId="5D6BB10E" w14:textId="77777777" w:rsidR="00D1305F" w:rsidRPr="00435923" w:rsidRDefault="00CA3107" w:rsidP="00613BB9">
            <w:pPr>
              <w:jc w:val="both"/>
              <w:rPr>
                <w:rFonts w:ascii="Verdana" w:hAnsi="Verdana"/>
                <w:b w:val="0"/>
                <w:color w:val="FF0000"/>
                <w:sz w:val="18"/>
                <w:szCs w:val="18"/>
              </w:rPr>
            </w:pPr>
            <w:r>
              <w:rPr>
                <w:rFonts w:ascii="Verdana" w:hAnsi="Verdana"/>
                <w:b w:val="0"/>
                <w:color w:val="00B050"/>
                <w:sz w:val="18"/>
                <w:szCs w:val="18"/>
              </w:rPr>
              <w:t xml:space="preserve"> </w:t>
            </w:r>
          </w:p>
        </w:tc>
      </w:tr>
    </w:tbl>
    <w:p w14:paraId="1579CE18" w14:textId="77777777" w:rsidR="00697686" w:rsidRDefault="00697686" w:rsidP="00C0357D">
      <w:pPr>
        <w:ind w:left="360"/>
        <w:jc w:val="both"/>
      </w:pPr>
    </w:p>
    <w:tbl>
      <w:tblPr>
        <w:tblStyle w:val="Tabladecuadrcula4-nfasis11"/>
        <w:tblW w:w="5000" w:type="pct"/>
        <w:tblLook w:val="04A0" w:firstRow="1" w:lastRow="0" w:firstColumn="1" w:lastColumn="0" w:noHBand="0" w:noVBand="1"/>
      </w:tblPr>
      <w:tblGrid>
        <w:gridCol w:w="4958"/>
        <w:gridCol w:w="1418"/>
        <w:gridCol w:w="2452"/>
      </w:tblGrid>
      <w:tr w:rsidR="00667A72" w14:paraId="336A7A1B" w14:textId="77777777" w:rsidTr="004711B9">
        <w:trPr>
          <w:cnfStyle w:val="100000000000" w:firstRow="1" w:lastRow="0" w:firstColumn="0" w:lastColumn="0" w:oddVBand="0" w:evenVBand="0" w:oddHBand="0" w:evenHBand="0" w:firstRowFirstColumn="0" w:firstRowLastColumn="0" w:lastRowFirstColumn="0" w:lastRowLastColumn="0"/>
          <w:trHeight w:val="109"/>
        </w:trPr>
        <w:tc>
          <w:tcPr>
            <w:cnfStyle w:val="001000000000" w:firstRow="0" w:lastRow="0" w:firstColumn="1" w:lastColumn="0" w:oddVBand="0" w:evenVBand="0" w:oddHBand="0" w:evenHBand="0" w:firstRowFirstColumn="0" w:firstRowLastColumn="0" w:lastRowFirstColumn="0" w:lastRowLastColumn="0"/>
            <w:tcW w:w="2808" w:type="pct"/>
          </w:tcPr>
          <w:p w14:paraId="7CE436DF" w14:textId="77777777" w:rsidR="00667A72" w:rsidRPr="00D72D50" w:rsidRDefault="00667A72" w:rsidP="00776881">
            <w:pPr>
              <w:jc w:val="center"/>
              <w:rPr>
                <w:rFonts w:ascii="Verdana" w:hAnsi="Verdana"/>
                <w:sz w:val="18"/>
                <w:szCs w:val="18"/>
              </w:rPr>
            </w:pPr>
            <w:r w:rsidRPr="00D72D50">
              <w:rPr>
                <w:rFonts w:ascii="Verdana" w:hAnsi="Verdana"/>
                <w:sz w:val="18"/>
                <w:szCs w:val="18"/>
              </w:rPr>
              <w:lastRenderedPageBreak/>
              <w:t>Objetivo Estratégico</w:t>
            </w:r>
          </w:p>
        </w:tc>
        <w:tc>
          <w:tcPr>
            <w:tcW w:w="2192" w:type="pct"/>
            <w:gridSpan w:val="2"/>
          </w:tcPr>
          <w:p w14:paraId="5A1A0624" w14:textId="77777777" w:rsidR="00667A72" w:rsidRPr="00D72D50" w:rsidRDefault="00D17E22" w:rsidP="00893C60">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sidRPr="00D72D50">
              <w:rPr>
                <w:rFonts w:ascii="Verdana" w:hAnsi="Verdana"/>
                <w:sz w:val="18"/>
                <w:szCs w:val="18"/>
              </w:rPr>
              <w:t>Objetivo Específico 201</w:t>
            </w:r>
            <w:r w:rsidR="00893C60">
              <w:rPr>
                <w:rFonts w:ascii="Verdana" w:hAnsi="Verdana"/>
                <w:sz w:val="18"/>
                <w:szCs w:val="18"/>
              </w:rPr>
              <w:t>9</w:t>
            </w:r>
            <w:r>
              <w:rPr>
                <w:rFonts w:ascii="Verdana" w:hAnsi="Verdana"/>
                <w:sz w:val="18"/>
                <w:szCs w:val="18"/>
              </w:rPr>
              <w:t xml:space="preserve"> (Táctico)</w:t>
            </w:r>
          </w:p>
        </w:tc>
      </w:tr>
      <w:tr w:rsidR="00667A72" w14:paraId="0A8117E1" w14:textId="77777777" w:rsidTr="004711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pct"/>
          </w:tcPr>
          <w:p w14:paraId="16DB2E49" w14:textId="77777777" w:rsidR="00667A72" w:rsidRPr="001019D8" w:rsidRDefault="00893C60" w:rsidP="00776881">
            <w:pPr>
              <w:rPr>
                <w:rFonts w:ascii="Verdana" w:hAnsi="Verdana"/>
              </w:rPr>
            </w:pPr>
            <w:r w:rsidRPr="001019D8">
              <w:rPr>
                <w:rFonts w:ascii="Verdana" w:hAnsi="Verdana" w:cstheme="minorHAnsi"/>
                <w:sz w:val="20"/>
                <w:szCs w:val="20"/>
              </w:rPr>
              <w:t xml:space="preserve">Fortalecer el patrimonio </w:t>
            </w:r>
            <w:proofErr w:type="spellStart"/>
            <w:r w:rsidRPr="001019D8">
              <w:rPr>
                <w:rFonts w:ascii="Verdana" w:hAnsi="Verdana" w:cstheme="minorHAnsi"/>
                <w:sz w:val="20"/>
                <w:szCs w:val="20"/>
              </w:rPr>
              <w:t>fito</w:t>
            </w:r>
            <w:proofErr w:type="spellEnd"/>
            <w:r w:rsidRPr="001019D8">
              <w:rPr>
                <w:rFonts w:ascii="Verdana" w:hAnsi="Verdana" w:cstheme="minorHAnsi"/>
                <w:sz w:val="20"/>
                <w:szCs w:val="20"/>
              </w:rPr>
              <w:t xml:space="preserve"> y zoosanitario del país para apoyar el desarrollo sustentable y competitivo del sector </w:t>
            </w:r>
            <w:proofErr w:type="spellStart"/>
            <w:r w:rsidRPr="001019D8">
              <w:rPr>
                <w:rFonts w:ascii="Verdana" w:hAnsi="Verdana" w:cstheme="minorHAnsi"/>
                <w:sz w:val="20"/>
                <w:szCs w:val="20"/>
              </w:rPr>
              <w:t>silvoagropecuario</w:t>
            </w:r>
            <w:proofErr w:type="spellEnd"/>
            <w:r w:rsidRPr="001019D8">
              <w:rPr>
                <w:rFonts w:ascii="Verdana" w:hAnsi="Verdana" w:cstheme="minorHAnsi"/>
                <w:sz w:val="20"/>
                <w:szCs w:val="20"/>
              </w:rPr>
              <w:t xml:space="preserve"> nacional velando por el cumplimiento de la normativa de los ámbitos de acción del Servicio.</w:t>
            </w:r>
          </w:p>
        </w:tc>
        <w:tc>
          <w:tcPr>
            <w:tcW w:w="2192" w:type="pct"/>
            <w:gridSpan w:val="2"/>
          </w:tcPr>
          <w:p w14:paraId="718B5D24" w14:textId="77777777" w:rsidR="00667A72" w:rsidRPr="001019D8" w:rsidRDefault="00893C60" w:rsidP="00BD4AAF">
            <w:pPr>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1019D8">
              <w:rPr>
                <w:rFonts w:ascii="Verdana" w:hAnsi="Verdana" w:cstheme="minorHAnsi"/>
                <w:sz w:val="20"/>
                <w:szCs w:val="20"/>
              </w:rPr>
              <w:t>Conocer, mantener y mejorar la  condición zoosanitaria nacional.</w:t>
            </w:r>
          </w:p>
        </w:tc>
      </w:tr>
      <w:tr w:rsidR="00667A72" w14:paraId="1C8E8427" w14:textId="77777777" w:rsidTr="004711B9">
        <w:tc>
          <w:tcPr>
            <w:cnfStyle w:val="001000000000" w:firstRow="0" w:lastRow="0" w:firstColumn="1" w:lastColumn="0" w:oddVBand="0" w:evenVBand="0" w:oddHBand="0" w:evenHBand="0" w:firstRowFirstColumn="0" w:firstRowLastColumn="0" w:lastRowFirstColumn="0" w:lastRowLastColumn="0"/>
            <w:tcW w:w="2808" w:type="pct"/>
            <w:shd w:val="clear" w:color="auto" w:fill="5B9BD5" w:themeFill="accent1"/>
          </w:tcPr>
          <w:p w14:paraId="157DD880" w14:textId="77777777" w:rsidR="00667A72" w:rsidRPr="001019D8" w:rsidRDefault="00667A72" w:rsidP="00776881">
            <w:pPr>
              <w:jc w:val="center"/>
              <w:rPr>
                <w:rFonts w:ascii="Verdana" w:hAnsi="Verdana"/>
                <w:color w:val="FFFFFF" w:themeColor="background1"/>
                <w:sz w:val="18"/>
                <w:szCs w:val="18"/>
              </w:rPr>
            </w:pPr>
            <w:r w:rsidRPr="001019D8">
              <w:rPr>
                <w:rFonts w:ascii="Verdana" w:hAnsi="Verdana"/>
                <w:color w:val="FFFFFF" w:themeColor="background1"/>
                <w:sz w:val="18"/>
                <w:szCs w:val="18"/>
              </w:rPr>
              <w:t>Indicador</w:t>
            </w:r>
          </w:p>
        </w:tc>
        <w:tc>
          <w:tcPr>
            <w:tcW w:w="803" w:type="pct"/>
            <w:shd w:val="clear" w:color="auto" w:fill="5B9BD5" w:themeFill="accent1"/>
          </w:tcPr>
          <w:p w14:paraId="17E75E19" w14:textId="77777777" w:rsidR="00667A72" w:rsidRPr="001019D8" w:rsidRDefault="00421614" w:rsidP="00893C60">
            <w:pPr>
              <w:jc w:val="center"/>
              <w:cnfStyle w:val="000000000000" w:firstRow="0" w:lastRow="0" w:firstColumn="0" w:lastColumn="0" w:oddVBand="0" w:evenVBand="0" w:oddHBand="0" w:evenHBand="0" w:firstRowFirstColumn="0" w:firstRowLastColumn="0" w:lastRowFirstColumn="0" w:lastRowLastColumn="0"/>
              <w:rPr>
                <w:rFonts w:ascii="Verdana" w:hAnsi="Verdana"/>
                <w:b/>
                <w:color w:val="FFFFFF" w:themeColor="background1"/>
                <w:sz w:val="18"/>
                <w:szCs w:val="18"/>
              </w:rPr>
            </w:pPr>
            <w:r w:rsidRPr="001019D8">
              <w:rPr>
                <w:rFonts w:ascii="Verdana" w:hAnsi="Verdana"/>
                <w:b/>
                <w:color w:val="FFFFFF" w:themeColor="background1"/>
                <w:sz w:val="18"/>
                <w:szCs w:val="18"/>
              </w:rPr>
              <w:t>Meta 201</w:t>
            </w:r>
            <w:r w:rsidR="00893C60" w:rsidRPr="001019D8">
              <w:rPr>
                <w:rFonts w:ascii="Verdana" w:hAnsi="Verdana"/>
                <w:b/>
                <w:color w:val="FFFFFF" w:themeColor="background1"/>
                <w:sz w:val="18"/>
                <w:szCs w:val="18"/>
              </w:rPr>
              <w:t>9</w:t>
            </w:r>
          </w:p>
        </w:tc>
        <w:tc>
          <w:tcPr>
            <w:tcW w:w="1390" w:type="pct"/>
            <w:shd w:val="clear" w:color="auto" w:fill="5B9BD5" w:themeFill="accent1"/>
          </w:tcPr>
          <w:p w14:paraId="2211B662" w14:textId="77777777" w:rsidR="00667A72" w:rsidRPr="001019D8" w:rsidRDefault="0096609A" w:rsidP="00893C60">
            <w:pPr>
              <w:jc w:val="center"/>
              <w:cnfStyle w:val="000000000000" w:firstRow="0" w:lastRow="0" w:firstColumn="0" w:lastColumn="0" w:oddVBand="0" w:evenVBand="0" w:oddHBand="0" w:evenHBand="0" w:firstRowFirstColumn="0" w:firstRowLastColumn="0" w:lastRowFirstColumn="0" w:lastRowLastColumn="0"/>
              <w:rPr>
                <w:rFonts w:ascii="Verdana" w:hAnsi="Verdana"/>
                <w:b/>
                <w:color w:val="FFFFFF" w:themeColor="background1"/>
                <w:sz w:val="18"/>
                <w:szCs w:val="18"/>
              </w:rPr>
            </w:pPr>
            <w:r w:rsidRPr="001019D8">
              <w:rPr>
                <w:rFonts w:ascii="Verdana" w:hAnsi="Verdana"/>
                <w:b/>
                <w:color w:val="FFFFFF" w:themeColor="background1"/>
                <w:sz w:val="18"/>
                <w:szCs w:val="18"/>
              </w:rPr>
              <w:t>Resultado al 31.12.19</w:t>
            </w:r>
          </w:p>
        </w:tc>
      </w:tr>
      <w:tr w:rsidR="00667A72" w14:paraId="5C0CDBAF" w14:textId="77777777" w:rsidTr="004711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pct"/>
          </w:tcPr>
          <w:p w14:paraId="227088A3" w14:textId="77777777" w:rsidR="00667A72" w:rsidRPr="001019D8" w:rsidRDefault="00893C60" w:rsidP="00776881">
            <w:pPr>
              <w:jc w:val="both"/>
              <w:rPr>
                <w:rFonts w:ascii="Verdana" w:hAnsi="Verdana"/>
                <w:sz w:val="18"/>
                <w:szCs w:val="18"/>
              </w:rPr>
            </w:pPr>
            <w:r w:rsidRPr="001019D8">
              <w:rPr>
                <w:rFonts w:ascii="Verdana" w:hAnsi="Verdana" w:cstheme="minorHAnsi"/>
                <w:sz w:val="20"/>
                <w:szCs w:val="20"/>
              </w:rPr>
              <w:t>Porcentaje de enfermedades de importancia zoosanitaria ausentes en Chile respecto al total de enfermedades de importancia zoosanitaria.</w:t>
            </w:r>
          </w:p>
        </w:tc>
        <w:tc>
          <w:tcPr>
            <w:tcW w:w="803" w:type="pct"/>
            <w:vAlign w:val="center"/>
          </w:tcPr>
          <w:p w14:paraId="52369F18" w14:textId="77777777" w:rsidR="00667A72" w:rsidRPr="001019D8" w:rsidRDefault="00667A72" w:rsidP="00EF594C">
            <w:pPr>
              <w:jc w:val="cente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1019D8">
              <w:rPr>
                <w:rFonts w:ascii="Verdana" w:hAnsi="Verdana"/>
                <w:sz w:val="24"/>
                <w:szCs w:val="24"/>
              </w:rPr>
              <w:t>100%</w:t>
            </w:r>
          </w:p>
        </w:tc>
        <w:tc>
          <w:tcPr>
            <w:tcW w:w="1390" w:type="pct"/>
            <w:vAlign w:val="center"/>
          </w:tcPr>
          <w:p w14:paraId="1482394F" w14:textId="77777777" w:rsidR="00667A72" w:rsidRPr="001019D8" w:rsidRDefault="00667A72" w:rsidP="00EF594C">
            <w:pPr>
              <w:jc w:val="cente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1019D8">
              <w:rPr>
                <w:rFonts w:ascii="Verdana" w:hAnsi="Verdana"/>
                <w:sz w:val="24"/>
                <w:szCs w:val="24"/>
              </w:rPr>
              <w:t>100%</w:t>
            </w:r>
          </w:p>
          <w:p w14:paraId="62DD3A27" w14:textId="77777777" w:rsidR="00667A72" w:rsidRPr="001019D8" w:rsidRDefault="00667A72" w:rsidP="00EF594C">
            <w:pPr>
              <w:jc w:val="cente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1019D8">
              <w:rPr>
                <w:rFonts w:ascii="Verdana" w:hAnsi="Verdana"/>
                <w:sz w:val="24"/>
                <w:szCs w:val="24"/>
              </w:rPr>
              <w:t>(16/16)</w:t>
            </w:r>
          </w:p>
        </w:tc>
      </w:tr>
      <w:tr w:rsidR="00667A72" w14:paraId="148FF7FD" w14:textId="77777777" w:rsidTr="00776881">
        <w:tc>
          <w:tcPr>
            <w:cnfStyle w:val="001000000000" w:firstRow="0" w:lastRow="0" w:firstColumn="1" w:lastColumn="0" w:oddVBand="0" w:evenVBand="0" w:oddHBand="0" w:evenHBand="0" w:firstRowFirstColumn="0" w:firstRowLastColumn="0" w:lastRowFirstColumn="0" w:lastRowLastColumn="0"/>
            <w:tcW w:w="5000" w:type="pct"/>
            <w:gridSpan w:val="3"/>
          </w:tcPr>
          <w:p w14:paraId="7454A987" w14:textId="77777777" w:rsidR="00667A72" w:rsidRDefault="0096609A" w:rsidP="00CB18E1">
            <w:pPr>
              <w:spacing w:before="120"/>
              <w:jc w:val="both"/>
              <w:rPr>
                <w:rFonts w:ascii="Verdana" w:hAnsi="Verdana"/>
                <w:sz w:val="18"/>
                <w:szCs w:val="18"/>
              </w:rPr>
            </w:pPr>
            <w:r>
              <w:rPr>
                <w:rFonts w:ascii="Verdana" w:hAnsi="Verdana"/>
                <w:sz w:val="18"/>
                <w:szCs w:val="18"/>
              </w:rPr>
              <w:t>Descripción del Resultado:</w:t>
            </w:r>
          </w:p>
          <w:p w14:paraId="6EF8A1E4" w14:textId="77777777" w:rsidR="005416E3" w:rsidRPr="00CB18E1" w:rsidRDefault="005416E3" w:rsidP="005416E3">
            <w:pPr>
              <w:jc w:val="both"/>
              <w:rPr>
                <w:rFonts w:ascii="Verdana" w:hAnsi="Verdana"/>
                <w:b w:val="0"/>
                <w:sz w:val="18"/>
                <w:szCs w:val="18"/>
              </w:rPr>
            </w:pPr>
            <w:r w:rsidRPr="00CB18E1">
              <w:rPr>
                <w:rFonts w:ascii="Verdana" w:hAnsi="Verdana"/>
                <w:b w:val="0"/>
                <w:sz w:val="18"/>
                <w:szCs w:val="18"/>
              </w:rPr>
              <w:t>El total de enfermedades zoosanitarias se encuentran enunciadas en la Nota N°3 del indicador.</w:t>
            </w:r>
          </w:p>
          <w:p w14:paraId="53679FCA" w14:textId="77777777" w:rsidR="005416E3" w:rsidRPr="00CB18E1" w:rsidRDefault="005416E3" w:rsidP="005416E3">
            <w:pPr>
              <w:jc w:val="both"/>
              <w:rPr>
                <w:rFonts w:ascii="Verdana" w:hAnsi="Verdana"/>
                <w:b w:val="0"/>
                <w:sz w:val="18"/>
                <w:szCs w:val="18"/>
              </w:rPr>
            </w:pPr>
            <w:r>
              <w:rPr>
                <w:rFonts w:ascii="Verdana" w:hAnsi="Verdana"/>
                <w:b w:val="0"/>
                <w:sz w:val="18"/>
                <w:szCs w:val="18"/>
              </w:rPr>
              <w:t xml:space="preserve">En </w:t>
            </w:r>
            <w:r w:rsidRPr="00CB18E1">
              <w:rPr>
                <w:rFonts w:ascii="Verdana" w:hAnsi="Verdana"/>
                <w:b w:val="0"/>
                <w:sz w:val="18"/>
                <w:szCs w:val="18"/>
              </w:rPr>
              <w:t>2019, este indicador se cumplió en un 100% (16/16). Este resultado implica que las 16 enfermedades de importancia zoosanitaria en Chile se encuentran ausentes en el período de medición, de igual manera que en el año 2018.</w:t>
            </w:r>
          </w:p>
          <w:p w14:paraId="4969DAE1" w14:textId="77777777" w:rsidR="005416E3" w:rsidRPr="00CB18E1" w:rsidRDefault="005416E3" w:rsidP="005416E3">
            <w:pPr>
              <w:jc w:val="both"/>
              <w:rPr>
                <w:rFonts w:ascii="Verdana" w:hAnsi="Verdana"/>
                <w:b w:val="0"/>
                <w:sz w:val="18"/>
                <w:szCs w:val="18"/>
              </w:rPr>
            </w:pPr>
          </w:p>
          <w:p w14:paraId="7CFEC30D" w14:textId="77777777" w:rsidR="005416E3" w:rsidRDefault="005416E3" w:rsidP="005416E3">
            <w:pPr>
              <w:jc w:val="both"/>
              <w:rPr>
                <w:rFonts w:ascii="Verdana" w:hAnsi="Verdana"/>
                <w:b w:val="0"/>
                <w:sz w:val="18"/>
                <w:szCs w:val="18"/>
              </w:rPr>
            </w:pPr>
            <w:r w:rsidRPr="001A5EB2">
              <w:rPr>
                <w:rFonts w:ascii="Verdana" w:hAnsi="Verdana"/>
                <w:b w:val="0"/>
                <w:sz w:val="18"/>
                <w:szCs w:val="18"/>
              </w:rPr>
              <w:t xml:space="preserve">Si bien es cierto, el indicador se ha cumplido en un 100% en los últimos 3 años, es importante mencionar que las dinámicas epidemiológicas de las enfermedades cambian, por lo cual es requerida la actualización del listado SAG de las 16 enfermedades </w:t>
            </w:r>
            <w:r w:rsidRPr="00CB18E1">
              <w:rPr>
                <w:rFonts w:ascii="Verdana" w:hAnsi="Verdana"/>
                <w:b w:val="0"/>
                <w:sz w:val="18"/>
                <w:szCs w:val="18"/>
              </w:rPr>
              <w:t xml:space="preserve">de importancia zoosanitaria ausentes </w:t>
            </w:r>
            <w:r w:rsidRPr="001A5EB2">
              <w:rPr>
                <w:rFonts w:ascii="Verdana" w:hAnsi="Verdana"/>
                <w:b w:val="0"/>
                <w:sz w:val="18"/>
                <w:szCs w:val="18"/>
              </w:rPr>
              <w:t>consideradas en la medición de este indicador, con el objeto de cumplir con las exigencias de los mercados de exportación actuales y futuros, por lo anterior, se contará con la actualización del listado para el año 2020</w:t>
            </w:r>
            <w:r>
              <w:rPr>
                <w:rFonts w:ascii="Verdana" w:hAnsi="Verdana"/>
                <w:b w:val="0"/>
                <w:sz w:val="18"/>
                <w:szCs w:val="18"/>
              </w:rPr>
              <w:t xml:space="preserve">, ya que por </w:t>
            </w:r>
            <w:r w:rsidRPr="00CB18E1">
              <w:rPr>
                <w:rFonts w:ascii="Verdana" w:hAnsi="Verdana"/>
                <w:b w:val="0"/>
                <w:sz w:val="18"/>
                <w:szCs w:val="18"/>
              </w:rPr>
              <w:t xml:space="preserve">un lado </w:t>
            </w:r>
            <w:r>
              <w:rPr>
                <w:rFonts w:ascii="Verdana" w:hAnsi="Verdana"/>
                <w:b w:val="0"/>
                <w:sz w:val="18"/>
                <w:szCs w:val="18"/>
              </w:rPr>
              <w:t>el actual listado de enfermedades está</w:t>
            </w:r>
            <w:r w:rsidRPr="00CB18E1">
              <w:rPr>
                <w:rFonts w:ascii="Verdana" w:hAnsi="Verdana"/>
                <w:b w:val="0"/>
                <w:sz w:val="18"/>
                <w:szCs w:val="18"/>
              </w:rPr>
              <w:t xml:space="preserve"> basad</w:t>
            </w:r>
            <w:r>
              <w:rPr>
                <w:rFonts w:ascii="Verdana" w:hAnsi="Verdana"/>
                <w:b w:val="0"/>
                <w:sz w:val="18"/>
                <w:szCs w:val="18"/>
              </w:rPr>
              <w:t>o</w:t>
            </w:r>
            <w:r w:rsidRPr="00CB18E1">
              <w:rPr>
                <w:rFonts w:ascii="Verdana" w:hAnsi="Verdana"/>
                <w:b w:val="0"/>
                <w:sz w:val="18"/>
                <w:szCs w:val="18"/>
              </w:rPr>
              <w:t xml:space="preserve"> en la antigua “Lista A” del 2004 de la Organización Mundial para la Sanidad Animal (OIE), la cual fue reemplazada por la actual “Lista Única” en el año 2006, siendo vigente hasta la fecha y que incluye 117 enfermedades, de las cuales 87 pertenecen </w:t>
            </w:r>
            <w:r w:rsidR="00B7516B">
              <w:rPr>
                <w:rFonts w:ascii="Verdana" w:hAnsi="Verdana"/>
                <w:b w:val="0"/>
                <w:sz w:val="18"/>
                <w:szCs w:val="18"/>
              </w:rPr>
              <w:t xml:space="preserve">al </w:t>
            </w:r>
            <w:r w:rsidRPr="00CB18E1">
              <w:rPr>
                <w:rFonts w:ascii="Verdana" w:hAnsi="Verdana"/>
                <w:b w:val="0"/>
                <w:sz w:val="18"/>
                <w:szCs w:val="18"/>
              </w:rPr>
              <w:t xml:space="preserve">Código Sanitario para los Animales Terrestres que contiene enfermedades de diversa relevancia, como patologías que se encuentran en Chile (como: </w:t>
            </w:r>
            <w:proofErr w:type="spellStart"/>
            <w:r w:rsidRPr="00CB18E1">
              <w:rPr>
                <w:rFonts w:ascii="Verdana" w:hAnsi="Verdana"/>
                <w:b w:val="0"/>
                <w:sz w:val="18"/>
                <w:szCs w:val="18"/>
              </w:rPr>
              <w:t>herpesvirus</w:t>
            </w:r>
            <w:proofErr w:type="spellEnd"/>
            <w:r w:rsidRPr="00CB18E1">
              <w:rPr>
                <w:rFonts w:ascii="Verdana" w:hAnsi="Verdana"/>
                <w:b w:val="0"/>
                <w:sz w:val="18"/>
                <w:szCs w:val="18"/>
              </w:rPr>
              <w:t xml:space="preserve"> equino 1, </w:t>
            </w:r>
            <w:proofErr w:type="spellStart"/>
            <w:r w:rsidRPr="00CB18E1">
              <w:rPr>
                <w:rFonts w:ascii="Verdana" w:hAnsi="Verdana"/>
                <w:b w:val="0"/>
                <w:sz w:val="18"/>
                <w:szCs w:val="18"/>
              </w:rPr>
              <w:t>piroplasmosis</w:t>
            </w:r>
            <w:proofErr w:type="spellEnd"/>
            <w:r w:rsidRPr="00CB18E1">
              <w:rPr>
                <w:rFonts w:ascii="Verdana" w:hAnsi="Verdana"/>
                <w:b w:val="0"/>
                <w:sz w:val="18"/>
                <w:szCs w:val="18"/>
              </w:rPr>
              <w:t xml:space="preserve"> equina, bronquitis infecciosa aviar, etc.)  o que no poseen importancia económica relevante (como: cisticercosis porcina, epididimitis ovina, etc.); y por otro lado, se estima la probabilidad de ingreso o presencia en el país de</w:t>
            </w:r>
            <w:r w:rsidR="00B7516B">
              <w:rPr>
                <w:rFonts w:ascii="Verdana" w:hAnsi="Verdana"/>
                <w:b w:val="0"/>
                <w:sz w:val="18"/>
                <w:szCs w:val="18"/>
              </w:rPr>
              <w:t>,</w:t>
            </w:r>
            <w:r w:rsidRPr="00CB18E1">
              <w:rPr>
                <w:rFonts w:ascii="Verdana" w:hAnsi="Verdana"/>
                <w:b w:val="0"/>
                <w:sz w:val="18"/>
                <w:szCs w:val="18"/>
              </w:rPr>
              <w:t xml:space="preserve"> al menos 3</w:t>
            </w:r>
            <w:r w:rsidR="00B7516B">
              <w:rPr>
                <w:rFonts w:ascii="Verdana" w:hAnsi="Verdana"/>
                <w:b w:val="0"/>
                <w:sz w:val="18"/>
                <w:szCs w:val="18"/>
              </w:rPr>
              <w:t>,</w:t>
            </w:r>
            <w:r w:rsidRPr="00CB18E1">
              <w:rPr>
                <w:rFonts w:ascii="Verdana" w:hAnsi="Verdana"/>
                <w:b w:val="0"/>
                <w:sz w:val="18"/>
                <w:szCs w:val="18"/>
              </w:rPr>
              <w:t xml:space="preserve"> enfermedades mediadas por vectores (como por ejemplo: Fiebre del valle del </w:t>
            </w:r>
            <w:proofErr w:type="spellStart"/>
            <w:r w:rsidRPr="00CB18E1">
              <w:rPr>
                <w:rFonts w:ascii="Verdana" w:hAnsi="Verdana"/>
                <w:b w:val="0"/>
                <w:sz w:val="18"/>
                <w:szCs w:val="18"/>
              </w:rPr>
              <w:t>Rift</w:t>
            </w:r>
            <w:proofErr w:type="spellEnd"/>
            <w:r w:rsidRPr="00CB18E1">
              <w:rPr>
                <w:rFonts w:ascii="Verdana" w:hAnsi="Verdana"/>
                <w:b w:val="0"/>
                <w:sz w:val="18"/>
                <w:szCs w:val="18"/>
              </w:rPr>
              <w:t>, Lengua azul y Peste equina) debido a factores de riesgo externos no controlables por acciones del SAG, como son: cambio climático, ingreso ilegal de mercancías (animales, productos y subproductos) y aumento en el movimiento de personas entre países (migración).</w:t>
            </w:r>
            <w:r>
              <w:rPr>
                <w:rFonts w:ascii="Verdana" w:hAnsi="Verdana"/>
                <w:b w:val="0"/>
                <w:sz w:val="18"/>
                <w:szCs w:val="18"/>
              </w:rPr>
              <w:t xml:space="preserve"> </w:t>
            </w:r>
            <w:r w:rsidRPr="001A5EB2">
              <w:rPr>
                <w:rFonts w:ascii="Verdana" w:hAnsi="Verdana"/>
                <w:b w:val="0"/>
                <w:sz w:val="18"/>
                <w:szCs w:val="18"/>
              </w:rPr>
              <w:t>El hecho de excluir o reemplazar estas enfermedades del listado no implica que el Servicio deje de realizar vigilancia de estas patologías y en caso de detectarse en territorio nacional, serán informadas igualmente a la Organización Mundi</w:t>
            </w:r>
            <w:r>
              <w:rPr>
                <w:rFonts w:ascii="Verdana" w:hAnsi="Verdana"/>
                <w:b w:val="0"/>
                <w:sz w:val="18"/>
                <w:szCs w:val="18"/>
              </w:rPr>
              <w:t xml:space="preserve">al para la Sanidad Animal (OIE), </w:t>
            </w:r>
          </w:p>
          <w:p w14:paraId="548DB758" w14:textId="77777777" w:rsidR="005416E3" w:rsidRPr="001A5EB2" w:rsidRDefault="005416E3" w:rsidP="005416E3">
            <w:pPr>
              <w:jc w:val="both"/>
              <w:rPr>
                <w:rFonts w:ascii="Verdana" w:hAnsi="Verdana"/>
                <w:b w:val="0"/>
                <w:sz w:val="18"/>
                <w:szCs w:val="18"/>
              </w:rPr>
            </w:pPr>
          </w:p>
          <w:p w14:paraId="5BBF7AEA" w14:textId="77777777" w:rsidR="005416E3" w:rsidRDefault="005416E3" w:rsidP="005416E3">
            <w:pPr>
              <w:jc w:val="both"/>
              <w:rPr>
                <w:rFonts w:ascii="Verdana" w:hAnsi="Verdana"/>
                <w:b w:val="0"/>
                <w:sz w:val="18"/>
                <w:szCs w:val="18"/>
              </w:rPr>
            </w:pPr>
            <w:r w:rsidRPr="001A5EB2">
              <w:rPr>
                <w:rFonts w:ascii="Verdana" w:hAnsi="Verdana"/>
                <w:b w:val="0"/>
                <w:sz w:val="18"/>
                <w:szCs w:val="18"/>
              </w:rPr>
              <w:t>Por otro lado, señalar que el año 2019 no estuvo exento de incidencias luego de una detección a fines de agosto en la empre</w:t>
            </w:r>
            <w:r>
              <w:rPr>
                <w:rFonts w:ascii="Verdana" w:hAnsi="Verdana"/>
                <w:b w:val="0"/>
                <w:sz w:val="18"/>
                <w:szCs w:val="18"/>
              </w:rPr>
              <w:t xml:space="preserve">sa </w:t>
            </w:r>
            <w:proofErr w:type="spellStart"/>
            <w:r>
              <w:rPr>
                <w:rFonts w:ascii="Verdana" w:hAnsi="Verdana"/>
                <w:b w:val="0"/>
                <w:sz w:val="18"/>
                <w:szCs w:val="18"/>
              </w:rPr>
              <w:t>Sopraval</w:t>
            </w:r>
            <w:proofErr w:type="spellEnd"/>
            <w:r>
              <w:rPr>
                <w:rFonts w:ascii="Verdana" w:hAnsi="Verdana"/>
                <w:b w:val="0"/>
                <w:sz w:val="18"/>
                <w:szCs w:val="18"/>
              </w:rPr>
              <w:t xml:space="preserve"> en la Región de Valparaíso</w:t>
            </w:r>
            <w:r w:rsidRPr="001A5EB2">
              <w:rPr>
                <w:rFonts w:ascii="Verdana" w:hAnsi="Verdana"/>
                <w:b w:val="0"/>
                <w:sz w:val="18"/>
                <w:szCs w:val="18"/>
              </w:rPr>
              <w:t xml:space="preserve">, a través de la técnica de Laboratorio PCR, que dio resultado positivo a Influenza Aviar (IA), aunque se trataba de la de baja patogenicidad, aun así se realizaron las acciones de vigilancia y muestreo a aquellos establecimientos focalizados, dicha vigilancia se realizó de acuerdo a las recomendaciones de la OIE, en las cuales se llevaron a cabo acciones de sacrificio de aquellas aves positivas que permitieron finalmente en </w:t>
            </w:r>
            <w:r w:rsidR="00B7516B">
              <w:rPr>
                <w:rFonts w:ascii="Verdana" w:hAnsi="Verdana"/>
                <w:b w:val="0"/>
                <w:sz w:val="18"/>
                <w:szCs w:val="18"/>
              </w:rPr>
              <w:t xml:space="preserve">el mes de </w:t>
            </w:r>
            <w:r w:rsidRPr="001A5EB2">
              <w:rPr>
                <w:rFonts w:ascii="Verdana" w:hAnsi="Verdana"/>
                <w:b w:val="0"/>
                <w:sz w:val="18"/>
                <w:szCs w:val="18"/>
              </w:rPr>
              <w:t>diciembre la erradicación del virus Influenza aviar de baja patogenicidad.</w:t>
            </w:r>
          </w:p>
          <w:p w14:paraId="5BDB5BF1" w14:textId="77777777" w:rsidR="005416E3" w:rsidRPr="001A5EB2" w:rsidRDefault="005416E3" w:rsidP="005416E3">
            <w:pPr>
              <w:jc w:val="both"/>
              <w:rPr>
                <w:rFonts w:ascii="Verdana" w:hAnsi="Verdana"/>
                <w:b w:val="0"/>
                <w:sz w:val="18"/>
                <w:szCs w:val="18"/>
              </w:rPr>
            </w:pPr>
          </w:p>
          <w:p w14:paraId="09630CD6" w14:textId="77777777" w:rsidR="005416E3" w:rsidRPr="00557BB9" w:rsidRDefault="005416E3" w:rsidP="005416E3">
            <w:pPr>
              <w:jc w:val="both"/>
              <w:rPr>
                <w:rFonts w:ascii="Verdana" w:hAnsi="Verdana"/>
                <w:b w:val="0"/>
                <w:sz w:val="18"/>
                <w:szCs w:val="18"/>
              </w:rPr>
            </w:pPr>
            <w:r w:rsidRPr="001A5EB2">
              <w:rPr>
                <w:rFonts w:ascii="Verdana" w:hAnsi="Verdana"/>
                <w:b w:val="0"/>
                <w:sz w:val="18"/>
                <w:szCs w:val="18"/>
              </w:rPr>
              <w:t>Si bien desde octubre hasta diciembre 2019 se mantuvo presente el riesgo de ingreso o expresión de alguna de las 16 enfermedades, especialmente las relacionadas a vectores</w:t>
            </w:r>
            <w:r>
              <w:rPr>
                <w:rFonts w:ascii="Verdana" w:hAnsi="Verdana"/>
                <w:b w:val="0"/>
                <w:sz w:val="18"/>
                <w:szCs w:val="18"/>
              </w:rPr>
              <w:t xml:space="preserve"> (</w:t>
            </w:r>
            <w:r w:rsidRPr="00557BB9">
              <w:rPr>
                <w:rFonts w:ascii="Verdana" w:hAnsi="Verdana"/>
                <w:b w:val="0"/>
                <w:sz w:val="18"/>
                <w:szCs w:val="18"/>
              </w:rPr>
              <w:t>insectos o mosquitos dípteros que mediante su picadura infectan al animal)</w:t>
            </w:r>
            <w:r w:rsidRPr="001A5EB2">
              <w:rPr>
                <w:rFonts w:ascii="Verdana" w:hAnsi="Verdana"/>
                <w:b w:val="0"/>
                <w:sz w:val="18"/>
                <w:szCs w:val="18"/>
              </w:rPr>
              <w:t xml:space="preserve"> tales como la fiebre del valle del </w:t>
            </w:r>
            <w:proofErr w:type="spellStart"/>
            <w:r w:rsidRPr="001A5EB2">
              <w:rPr>
                <w:rFonts w:ascii="Verdana" w:hAnsi="Verdana"/>
                <w:b w:val="0"/>
                <w:sz w:val="18"/>
                <w:szCs w:val="18"/>
              </w:rPr>
              <w:t>rift</w:t>
            </w:r>
            <w:proofErr w:type="spellEnd"/>
            <w:r w:rsidRPr="001A5EB2">
              <w:rPr>
                <w:rFonts w:ascii="Verdana" w:hAnsi="Verdana"/>
                <w:b w:val="0"/>
                <w:sz w:val="18"/>
                <w:szCs w:val="18"/>
              </w:rPr>
              <w:t>, lengua azul y peste equina, no se produjo el ingreso de ninguna de ellas. Esto se debe a la continua vigilancia realizada por el Servicio, en conjunto con las acciones realizadas con países de la región</w:t>
            </w:r>
            <w:r w:rsidRPr="00557BB9">
              <w:rPr>
                <w:rFonts w:ascii="Verdana" w:hAnsi="Verdana"/>
                <w:b w:val="0"/>
                <w:sz w:val="18"/>
                <w:szCs w:val="18"/>
              </w:rPr>
              <w:t>.</w:t>
            </w:r>
          </w:p>
          <w:p w14:paraId="37F030E1" w14:textId="77777777" w:rsidR="00B92C02" w:rsidRPr="00D72D50" w:rsidRDefault="00B92C02" w:rsidP="00CB18E1">
            <w:pPr>
              <w:jc w:val="both"/>
              <w:rPr>
                <w:rFonts w:ascii="Verdana" w:hAnsi="Verdana"/>
                <w:sz w:val="18"/>
                <w:szCs w:val="18"/>
              </w:rPr>
            </w:pPr>
          </w:p>
        </w:tc>
      </w:tr>
    </w:tbl>
    <w:p w14:paraId="3A471C13" w14:textId="77777777" w:rsidR="0059613C" w:rsidRDefault="0059613C" w:rsidP="00C0357D">
      <w:pPr>
        <w:ind w:left="360"/>
        <w:jc w:val="both"/>
      </w:pPr>
    </w:p>
    <w:tbl>
      <w:tblPr>
        <w:tblStyle w:val="Tabladecuadrcula4-nfasis11"/>
        <w:tblW w:w="5000" w:type="pct"/>
        <w:tblLook w:val="04A0" w:firstRow="1" w:lastRow="0" w:firstColumn="1" w:lastColumn="0" w:noHBand="0" w:noVBand="1"/>
      </w:tblPr>
      <w:tblGrid>
        <w:gridCol w:w="4957"/>
        <w:gridCol w:w="1418"/>
        <w:gridCol w:w="2453"/>
      </w:tblGrid>
      <w:tr w:rsidR="00667A72" w14:paraId="099310E4" w14:textId="77777777" w:rsidTr="004711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pct"/>
          </w:tcPr>
          <w:p w14:paraId="550CC99C" w14:textId="77777777" w:rsidR="00667A72" w:rsidRPr="00D72D50" w:rsidRDefault="00667A72" w:rsidP="00776881">
            <w:pPr>
              <w:jc w:val="center"/>
              <w:rPr>
                <w:rFonts w:ascii="Verdana" w:hAnsi="Verdana"/>
                <w:sz w:val="18"/>
                <w:szCs w:val="18"/>
              </w:rPr>
            </w:pPr>
            <w:r w:rsidRPr="00D72D50">
              <w:rPr>
                <w:rFonts w:ascii="Verdana" w:hAnsi="Verdana"/>
                <w:sz w:val="18"/>
                <w:szCs w:val="18"/>
              </w:rPr>
              <w:lastRenderedPageBreak/>
              <w:t>Objetivo Estratégico</w:t>
            </w:r>
          </w:p>
        </w:tc>
        <w:tc>
          <w:tcPr>
            <w:tcW w:w="2192" w:type="pct"/>
            <w:gridSpan w:val="2"/>
          </w:tcPr>
          <w:p w14:paraId="669F552A" w14:textId="77777777" w:rsidR="00667A72" w:rsidRPr="00D72D50" w:rsidRDefault="00EC7D28" w:rsidP="00C318A1">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Objetivo Específico 2019</w:t>
            </w:r>
            <w:r w:rsidR="00D17E22">
              <w:rPr>
                <w:rFonts w:ascii="Verdana" w:hAnsi="Verdana"/>
                <w:sz w:val="18"/>
                <w:szCs w:val="18"/>
              </w:rPr>
              <w:t xml:space="preserve"> (Táctico)</w:t>
            </w:r>
          </w:p>
        </w:tc>
      </w:tr>
      <w:tr w:rsidR="00667A72" w14:paraId="7057FF49" w14:textId="77777777" w:rsidTr="004711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pct"/>
          </w:tcPr>
          <w:p w14:paraId="69FBAC21" w14:textId="77777777" w:rsidR="00667A72" w:rsidRPr="001019D8" w:rsidRDefault="00740C82" w:rsidP="00776881">
            <w:pPr>
              <w:rPr>
                <w:rFonts w:ascii="Verdana" w:hAnsi="Verdana"/>
              </w:rPr>
            </w:pPr>
            <w:r w:rsidRPr="001019D8">
              <w:rPr>
                <w:rFonts w:ascii="Verdana" w:hAnsi="Verdana" w:cstheme="minorHAnsi"/>
                <w:sz w:val="20"/>
                <w:szCs w:val="20"/>
              </w:rPr>
              <w:t xml:space="preserve">Fortalecer el patrimonio </w:t>
            </w:r>
            <w:proofErr w:type="spellStart"/>
            <w:r w:rsidRPr="001019D8">
              <w:rPr>
                <w:rFonts w:ascii="Verdana" w:hAnsi="Verdana" w:cstheme="minorHAnsi"/>
                <w:sz w:val="20"/>
                <w:szCs w:val="20"/>
              </w:rPr>
              <w:t>fito</w:t>
            </w:r>
            <w:proofErr w:type="spellEnd"/>
            <w:r w:rsidRPr="001019D8">
              <w:rPr>
                <w:rFonts w:ascii="Verdana" w:hAnsi="Verdana" w:cstheme="minorHAnsi"/>
                <w:sz w:val="20"/>
                <w:szCs w:val="20"/>
              </w:rPr>
              <w:t xml:space="preserve"> y zoosanitario del país para apoyar el desarrollo sustentable y competitivo del sector </w:t>
            </w:r>
            <w:proofErr w:type="spellStart"/>
            <w:r w:rsidRPr="001019D8">
              <w:rPr>
                <w:rFonts w:ascii="Verdana" w:hAnsi="Verdana" w:cstheme="minorHAnsi"/>
                <w:sz w:val="20"/>
                <w:szCs w:val="20"/>
              </w:rPr>
              <w:t>silvoagropecuario</w:t>
            </w:r>
            <w:proofErr w:type="spellEnd"/>
            <w:r w:rsidRPr="001019D8">
              <w:rPr>
                <w:rFonts w:ascii="Verdana" w:hAnsi="Verdana" w:cstheme="minorHAnsi"/>
                <w:sz w:val="20"/>
                <w:szCs w:val="20"/>
              </w:rPr>
              <w:t xml:space="preserve"> nacional velando por el cumplimiento de la normativa de los ámbitos de acción del Servicio.</w:t>
            </w:r>
          </w:p>
        </w:tc>
        <w:tc>
          <w:tcPr>
            <w:tcW w:w="2192" w:type="pct"/>
            <w:gridSpan w:val="2"/>
          </w:tcPr>
          <w:p w14:paraId="77075BC1" w14:textId="77777777" w:rsidR="00667A72" w:rsidRPr="001019D8" w:rsidRDefault="00740C82" w:rsidP="00BD4AAF">
            <w:pPr>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1019D8">
              <w:rPr>
                <w:rFonts w:ascii="Verdana" w:hAnsi="Verdana" w:cstheme="minorHAnsi"/>
                <w:sz w:val="20"/>
                <w:szCs w:val="20"/>
              </w:rPr>
              <w:t xml:space="preserve">Controlar y/o erradicar </w:t>
            </w:r>
            <w:proofErr w:type="spellStart"/>
            <w:r w:rsidRPr="001019D8">
              <w:rPr>
                <w:rFonts w:ascii="Verdana" w:hAnsi="Verdana" w:cstheme="minorHAnsi"/>
                <w:sz w:val="20"/>
                <w:szCs w:val="20"/>
              </w:rPr>
              <w:t>Lobesia</w:t>
            </w:r>
            <w:proofErr w:type="spellEnd"/>
            <w:r w:rsidRPr="001019D8">
              <w:rPr>
                <w:rFonts w:ascii="Verdana" w:hAnsi="Verdana" w:cstheme="minorHAnsi"/>
                <w:sz w:val="20"/>
                <w:szCs w:val="20"/>
              </w:rPr>
              <w:t xml:space="preserve"> </w:t>
            </w:r>
            <w:proofErr w:type="spellStart"/>
            <w:r w:rsidRPr="001019D8">
              <w:rPr>
                <w:rFonts w:ascii="Verdana" w:hAnsi="Verdana" w:cstheme="minorHAnsi"/>
                <w:sz w:val="20"/>
                <w:szCs w:val="20"/>
              </w:rPr>
              <w:t>Botrana</w:t>
            </w:r>
            <w:proofErr w:type="spellEnd"/>
            <w:r w:rsidRPr="001019D8">
              <w:rPr>
                <w:rFonts w:ascii="Verdana" w:hAnsi="Verdana" w:cstheme="minorHAnsi"/>
                <w:sz w:val="20"/>
                <w:szCs w:val="20"/>
              </w:rPr>
              <w:t xml:space="preserve"> en el territorio nacional, de acuerdo a la estrategia técnica establecida.</w:t>
            </w:r>
          </w:p>
        </w:tc>
      </w:tr>
      <w:tr w:rsidR="00667A72" w14:paraId="367BF325" w14:textId="77777777" w:rsidTr="004711B9">
        <w:tc>
          <w:tcPr>
            <w:cnfStyle w:val="001000000000" w:firstRow="0" w:lastRow="0" w:firstColumn="1" w:lastColumn="0" w:oddVBand="0" w:evenVBand="0" w:oddHBand="0" w:evenHBand="0" w:firstRowFirstColumn="0" w:firstRowLastColumn="0" w:lastRowFirstColumn="0" w:lastRowLastColumn="0"/>
            <w:tcW w:w="2808" w:type="pct"/>
            <w:shd w:val="clear" w:color="auto" w:fill="5B9BD5" w:themeFill="accent1"/>
          </w:tcPr>
          <w:p w14:paraId="7AE97D3D" w14:textId="77777777" w:rsidR="00667A72" w:rsidRPr="001019D8" w:rsidRDefault="00667A72" w:rsidP="00776881">
            <w:pPr>
              <w:jc w:val="center"/>
              <w:rPr>
                <w:rFonts w:ascii="Verdana" w:hAnsi="Verdana"/>
                <w:color w:val="FFFFFF" w:themeColor="background1"/>
                <w:sz w:val="18"/>
                <w:szCs w:val="18"/>
              </w:rPr>
            </w:pPr>
            <w:r w:rsidRPr="001019D8">
              <w:rPr>
                <w:rFonts w:ascii="Verdana" w:hAnsi="Verdana"/>
                <w:color w:val="FFFFFF" w:themeColor="background1"/>
                <w:sz w:val="18"/>
                <w:szCs w:val="18"/>
              </w:rPr>
              <w:t>Indicador</w:t>
            </w:r>
          </w:p>
        </w:tc>
        <w:tc>
          <w:tcPr>
            <w:tcW w:w="803" w:type="pct"/>
            <w:shd w:val="clear" w:color="auto" w:fill="5B9BD5" w:themeFill="accent1"/>
          </w:tcPr>
          <w:p w14:paraId="6A7698C0" w14:textId="77777777" w:rsidR="00667A72" w:rsidRPr="001019D8" w:rsidRDefault="00667A72" w:rsidP="00740C82">
            <w:pPr>
              <w:jc w:val="center"/>
              <w:cnfStyle w:val="000000000000" w:firstRow="0" w:lastRow="0" w:firstColumn="0" w:lastColumn="0" w:oddVBand="0" w:evenVBand="0" w:oddHBand="0" w:evenHBand="0" w:firstRowFirstColumn="0" w:firstRowLastColumn="0" w:lastRowFirstColumn="0" w:lastRowLastColumn="0"/>
              <w:rPr>
                <w:rFonts w:ascii="Verdana" w:hAnsi="Verdana"/>
                <w:b/>
                <w:color w:val="FFFFFF" w:themeColor="background1"/>
                <w:sz w:val="18"/>
                <w:szCs w:val="18"/>
              </w:rPr>
            </w:pPr>
            <w:r w:rsidRPr="001019D8">
              <w:rPr>
                <w:rFonts w:ascii="Verdana" w:hAnsi="Verdana"/>
                <w:b/>
                <w:color w:val="FFFFFF" w:themeColor="background1"/>
                <w:sz w:val="18"/>
                <w:szCs w:val="18"/>
              </w:rPr>
              <w:t>Meta 201</w:t>
            </w:r>
            <w:r w:rsidR="00740C82" w:rsidRPr="001019D8">
              <w:rPr>
                <w:rFonts w:ascii="Verdana" w:hAnsi="Verdana"/>
                <w:b/>
                <w:color w:val="FFFFFF" w:themeColor="background1"/>
                <w:sz w:val="18"/>
                <w:szCs w:val="18"/>
              </w:rPr>
              <w:t>9</w:t>
            </w:r>
          </w:p>
        </w:tc>
        <w:tc>
          <w:tcPr>
            <w:tcW w:w="1390" w:type="pct"/>
            <w:shd w:val="clear" w:color="auto" w:fill="5B9BD5" w:themeFill="accent1"/>
          </w:tcPr>
          <w:p w14:paraId="62CEE6DF" w14:textId="77777777" w:rsidR="00667A72" w:rsidRPr="001019D8" w:rsidRDefault="0096609A" w:rsidP="00740C82">
            <w:pPr>
              <w:jc w:val="center"/>
              <w:cnfStyle w:val="000000000000" w:firstRow="0" w:lastRow="0" w:firstColumn="0" w:lastColumn="0" w:oddVBand="0" w:evenVBand="0" w:oddHBand="0" w:evenHBand="0" w:firstRowFirstColumn="0" w:firstRowLastColumn="0" w:lastRowFirstColumn="0" w:lastRowLastColumn="0"/>
              <w:rPr>
                <w:rFonts w:ascii="Verdana" w:hAnsi="Verdana"/>
                <w:b/>
                <w:color w:val="FFFFFF" w:themeColor="background1"/>
                <w:sz w:val="18"/>
                <w:szCs w:val="18"/>
              </w:rPr>
            </w:pPr>
            <w:r w:rsidRPr="001019D8">
              <w:rPr>
                <w:rFonts w:ascii="Verdana" w:hAnsi="Verdana"/>
                <w:b/>
                <w:color w:val="FFFFFF" w:themeColor="background1"/>
                <w:sz w:val="18"/>
                <w:szCs w:val="18"/>
              </w:rPr>
              <w:t>Resultado al 31.12.19</w:t>
            </w:r>
          </w:p>
        </w:tc>
      </w:tr>
      <w:tr w:rsidR="00667A72" w14:paraId="4B2CE580" w14:textId="77777777" w:rsidTr="004711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pct"/>
          </w:tcPr>
          <w:p w14:paraId="4C2BAF21" w14:textId="77777777" w:rsidR="00667A72" w:rsidRPr="001019D8" w:rsidRDefault="00740C82" w:rsidP="002E67B1">
            <w:pPr>
              <w:jc w:val="both"/>
              <w:rPr>
                <w:rFonts w:ascii="Verdana" w:hAnsi="Verdana"/>
                <w:sz w:val="18"/>
                <w:szCs w:val="18"/>
              </w:rPr>
            </w:pPr>
            <w:r w:rsidRPr="001019D8">
              <w:rPr>
                <w:rFonts w:ascii="Verdana" w:hAnsi="Verdana" w:cstheme="minorHAnsi"/>
                <w:sz w:val="20"/>
                <w:szCs w:val="20"/>
              </w:rPr>
              <w:t xml:space="preserve">Porcentaje de detecciones de </w:t>
            </w:r>
            <w:proofErr w:type="spellStart"/>
            <w:r w:rsidRPr="001019D8">
              <w:rPr>
                <w:rFonts w:ascii="Verdana" w:hAnsi="Verdana" w:cstheme="minorHAnsi"/>
                <w:sz w:val="20"/>
                <w:szCs w:val="20"/>
              </w:rPr>
              <w:t>Lobesia</w:t>
            </w:r>
            <w:proofErr w:type="spellEnd"/>
            <w:r w:rsidRPr="001019D8">
              <w:rPr>
                <w:rFonts w:ascii="Verdana" w:hAnsi="Verdana" w:cstheme="minorHAnsi"/>
                <w:sz w:val="20"/>
                <w:szCs w:val="20"/>
              </w:rPr>
              <w:t xml:space="preserve"> </w:t>
            </w:r>
            <w:proofErr w:type="spellStart"/>
            <w:r w:rsidRPr="001019D8">
              <w:rPr>
                <w:rFonts w:ascii="Verdana" w:hAnsi="Verdana" w:cstheme="minorHAnsi"/>
                <w:sz w:val="20"/>
                <w:szCs w:val="20"/>
              </w:rPr>
              <w:t>botrana</w:t>
            </w:r>
            <w:proofErr w:type="spellEnd"/>
            <w:r w:rsidRPr="001019D8">
              <w:rPr>
                <w:rFonts w:ascii="Verdana" w:hAnsi="Verdana" w:cstheme="minorHAnsi"/>
                <w:sz w:val="20"/>
                <w:szCs w:val="20"/>
              </w:rPr>
              <w:t xml:space="preserve"> en predios de vid en el área libre</w:t>
            </w:r>
            <w:r w:rsidR="002E67B1" w:rsidRPr="001019D8">
              <w:rPr>
                <w:rFonts w:ascii="Verdana" w:hAnsi="Verdana" w:cstheme="minorHAnsi"/>
                <w:sz w:val="20"/>
                <w:szCs w:val="20"/>
              </w:rPr>
              <w:t xml:space="preserve"> </w:t>
            </w:r>
            <w:r w:rsidRPr="001019D8">
              <w:rPr>
                <w:rFonts w:ascii="Verdana" w:hAnsi="Verdana" w:cstheme="minorHAnsi"/>
                <w:sz w:val="20"/>
                <w:szCs w:val="20"/>
              </w:rPr>
              <w:t xml:space="preserve">con implementación de vigilancia en el tiempo máximo establecido en el año t.                                                      </w:t>
            </w:r>
          </w:p>
        </w:tc>
        <w:tc>
          <w:tcPr>
            <w:tcW w:w="803" w:type="pct"/>
            <w:vAlign w:val="center"/>
          </w:tcPr>
          <w:p w14:paraId="42EA52EA" w14:textId="77777777" w:rsidR="00667A72" w:rsidRPr="001019D8" w:rsidRDefault="00667A72" w:rsidP="00BD4AAF">
            <w:pPr>
              <w:jc w:val="cente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1019D8">
              <w:rPr>
                <w:rFonts w:ascii="Verdana" w:hAnsi="Verdana"/>
                <w:sz w:val="24"/>
                <w:szCs w:val="24"/>
              </w:rPr>
              <w:t>100%</w:t>
            </w:r>
          </w:p>
        </w:tc>
        <w:tc>
          <w:tcPr>
            <w:tcW w:w="1390" w:type="pct"/>
            <w:vAlign w:val="center"/>
          </w:tcPr>
          <w:p w14:paraId="327BB140" w14:textId="77777777" w:rsidR="00BD4AAF" w:rsidRPr="001019D8" w:rsidRDefault="00FD3BBF" w:rsidP="00BD4AAF">
            <w:pPr>
              <w:jc w:val="cente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1019D8">
              <w:rPr>
                <w:rFonts w:ascii="Verdana" w:hAnsi="Verdana"/>
                <w:sz w:val="24"/>
                <w:szCs w:val="24"/>
              </w:rPr>
              <w:t>100</w:t>
            </w:r>
            <w:r w:rsidR="00BD4AAF" w:rsidRPr="001019D8">
              <w:rPr>
                <w:rFonts w:ascii="Verdana" w:hAnsi="Verdana"/>
                <w:sz w:val="24"/>
                <w:szCs w:val="24"/>
              </w:rPr>
              <w:t>%</w:t>
            </w:r>
          </w:p>
          <w:p w14:paraId="4E4BC0B6" w14:textId="77777777" w:rsidR="00BD4AAF" w:rsidRPr="001019D8" w:rsidRDefault="00BD4AAF" w:rsidP="007B3EBE">
            <w:pPr>
              <w:jc w:val="cente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1019D8">
              <w:rPr>
                <w:rFonts w:ascii="Verdana" w:hAnsi="Verdana"/>
                <w:sz w:val="24"/>
                <w:szCs w:val="24"/>
              </w:rPr>
              <w:t>(</w:t>
            </w:r>
            <w:r w:rsidR="007B3EBE" w:rsidRPr="001019D8">
              <w:rPr>
                <w:rFonts w:ascii="Verdana" w:hAnsi="Verdana"/>
                <w:sz w:val="24"/>
                <w:szCs w:val="24"/>
              </w:rPr>
              <w:t>22</w:t>
            </w:r>
            <w:r w:rsidR="00FD3BBF" w:rsidRPr="001019D8">
              <w:rPr>
                <w:rFonts w:ascii="Verdana" w:hAnsi="Verdana"/>
                <w:sz w:val="24"/>
                <w:szCs w:val="24"/>
              </w:rPr>
              <w:t>/</w:t>
            </w:r>
            <w:r w:rsidR="007B3EBE" w:rsidRPr="001019D8">
              <w:rPr>
                <w:rFonts w:ascii="Verdana" w:hAnsi="Verdana"/>
                <w:sz w:val="24"/>
                <w:szCs w:val="24"/>
              </w:rPr>
              <w:t>22</w:t>
            </w:r>
            <w:r w:rsidRPr="001019D8">
              <w:rPr>
                <w:rFonts w:ascii="Verdana" w:hAnsi="Verdana"/>
                <w:sz w:val="24"/>
                <w:szCs w:val="24"/>
              </w:rPr>
              <w:t>)</w:t>
            </w:r>
          </w:p>
        </w:tc>
      </w:tr>
      <w:tr w:rsidR="00667A72" w14:paraId="468A4D71" w14:textId="77777777" w:rsidTr="00776881">
        <w:tc>
          <w:tcPr>
            <w:cnfStyle w:val="001000000000" w:firstRow="0" w:lastRow="0" w:firstColumn="1" w:lastColumn="0" w:oddVBand="0" w:evenVBand="0" w:oddHBand="0" w:evenHBand="0" w:firstRowFirstColumn="0" w:firstRowLastColumn="0" w:lastRowFirstColumn="0" w:lastRowLastColumn="0"/>
            <w:tcW w:w="5000" w:type="pct"/>
            <w:gridSpan w:val="3"/>
          </w:tcPr>
          <w:p w14:paraId="146D421C" w14:textId="77777777" w:rsidR="000D75D2" w:rsidRDefault="0096609A" w:rsidP="00697686">
            <w:pPr>
              <w:spacing w:before="120"/>
              <w:jc w:val="both"/>
              <w:rPr>
                <w:rFonts w:ascii="Verdana" w:hAnsi="Verdana"/>
                <w:sz w:val="18"/>
                <w:szCs w:val="18"/>
              </w:rPr>
            </w:pPr>
            <w:r>
              <w:rPr>
                <w:rFonts w:ascii="Verdana" w:hAnsi="Verdana"/>
                <w:sz w:val="18"/>
                <w:szCs w:val="18"/>
              </w:rPr>
              <w:t>Descripción del Resultado:</w:t>
            </w:r>
          </w:p>
          <w:p w14:paraId="3E8DE126" w14:textId="77777777" w:rsidR="007B3EBE" w:rsidRPr="00F523FE" w:rsidRDefault="007B3EBE" w:rsidP="007B3EBE">
            <w:pPr>
              <w:jc w:val="both"/>
              <w:rPr>
                <w:rFonts w:ascii="Verdana" w:hAnsi="Verdana"/>
                <w:b w:val="0"/>
                <w:sz w:val="18"/>
                <w:szCs w:val="18"/>
              </w:rPr>
            </w:pPr>
            <w:r w:rsidRPr="00F523FE">
              <w:rPr>
                <w:rFonts w:ascii="Verdana" w:hAnsi="Verdana"/>
                <w:b w:val="0"/>
                <w:sz w:val="18"/>
                <w:szCs w:val="18"/>
              </w:rPr>
              <w:t xml:space="preserve">A fin de verificar la capacidad de reacción ante la captura aislada de </w:t>
            </w:r>
            <w:proofErr w:type="spellStart"/>
            <w:r w:rsidRPr="00F523FE">
              <w:rPr>
                <w:rFonts w:ascii="Verdana" w:hAnsi="Verdana"/>
                <w:b w:val="0"/>
                <w:i/>
                <w:sz w:val="18"/>
                <w:szCs w:val="18"/>
              </w:rPr>
              <w:t>Lobesia</w:t>
            </w:r>
            <w:proofErr w:type="spellEnd"/>
            <w:r w:rsidRPr="00F523FE">
              <w:rPr>
                <w:rFonts w:ascii="Verdana" w:hAnsi="Verdana"/>
                <w:b w:val="0"/>
                <w:i/>
                <w:sz w:val="18"/>
                <w:szCs w:val="18"/>
              </w:rPr>
              <w:t xml:space="preserve"> </w:t>
            </w:r>
            <w:proofErr w:type="spellStart"/>
            <w:r w:rsidRPr="00F523FE">
              <w:rPr>
                <w:rFonts w:ascii="Verdana" w:hAnsi="Verdana"/>
                <w:b w:val="0"/>
                <w:i/>
                <w:sz w:val="18"/>
                <w:szCs w:val="18"/>
              </w:rPr>
              <w:t>botrana</w:t>
            </w:r>
            <w:proofErr w:type="spellEnd"/>
            <w:r w:rsidRPr="00F523FE">
              <w:rPr>
                <w:rFonts w:ascii="Verdana" w:hAnsi="Verdana"/>
                <w:b w:val="0"/>
                <w:i/>
                <w:sz w:val="18"/>
                <w:szCs w:val="18"/>
              </w:rPr>
              <w:t xml:space="preserve"> </w:t>
            </w:r>
            <w:r w:rsidRPr="00F523FE">
              <w:rPr>
                <w:rFonts w:ascii="Verdana" w:hAnsi="Verdana"/>
                <w:b w:val="0"/>
                <w:sz w:val="18"/>
                <w:szCs w:val="18"/>
              </w:rPr>
              <w:t xml:space="preserve">(polilla del racimo de la vid) en predios de vid en un área libre (comprende todos los huertos comerciales de vid), y con el fin de dimensionar acertadamente el estatus de la plaga en ese lugar, se ha definido que la implementación de las acciones inmediatas de vigilancia (instalación de una red sistemática de trampas) debe efectuarse en un plazo no mayor a 4 días hábiles, considerando como día cero la fecha de emisión del informe del Laboratorio que confirma la detección de </w:t>
            </w:r>
            <w:proofErr w:type="spellStart"/>
            <w:r w:rsidRPr="000727C5">
              <w:rPr>
                <w:rFonts w:ascii="Verdana" w:hAnsi="Verdana"/>
                <w:b w:val="0"/>
                <w:i/>
                <w:sz w:val="18"/>
                <w:szCs w:val="18"/>
              </w:rPr>
              <w:t>Lobesia</w:t>
            </w:r>
            <w:proofErr w:type="spellEnd"/>
            <w:r w:rsidRPr="000727C5">
              <w:rPr>
                <w:rFonts w:ascii="Verdana" w:hAnsi="Verdana"/>
                <w:b w:val="0"/>
                <w:i/>
                <w:sz w:val="18"/>
                <w:szCs w:val="18"/>
              </w:rPr>
              <w:t xml:space="preserve"> </w:t>
            </w:r>
            <w:proofErr w:type="spellStart"/>
            <w:r w:rsidRPr="000727C5">
              <w:rPr>
                <w:rFonts w:ascii="Verdana" w:hAnsi="Verdana"/>
                <w:b w:val="0"/>
                <w:i/>
                <w:sz w:val="18"/>
                <w:szCs w:val="18"/>
              </w:rPr>
              <w:t>botrana</w:t>
            </w:r>
            <w:proofErr w:type="spellEnd"/>
            <w:r w:rsidRPr="00F523FE">
              <w:rPr>
                <w:rFonts w:ascii="Verdana" w:hAnsi="Verdana"/>
                <w:b w:val="0"/>
                <w:sz w:val="18"/>
                <w:szCs w:val="18"/>
              </w:rPr>
              <w:t>, y hasta la instalación de la última trampa en el área definida para el monitoreo de la plaga.</w:t>
            </w:r>
          </w:p>
          <w:p w14:paraId="64033263" w14:textId="77777777" w:rsidR="007B3EBE" w:rsidRPr="00F523FE" w:rsidRDefault="007B3EBE" w:rsidP="007B3EBE">
            <w:pPr>
              <w:jc w:val="both"/>
              <w:rPr>
                <w:rFonts w:ascii="Verdana" w:hAnsi="Verdana"/>
                <w:b w:val="0"/>
                <w:sz w:val="18"/>
                <w:szCs w:val="18"/>
              </w:rPr>
            </w:pPr>
          </w:p>
          <w:p w14:paraId="69B0FA05" w14:textId="77777777" w:rsidR="007B3EBE" w:rsidRPr="00F523FE" w:rsidRDefault="007B3EBE" w:rsidP="007B3EBE">
            <w:pPr>
              <w:jc w:val="both"/>
              <w:rPr>
                <w:rFonts w:ascii="Verdana" w:hAnsi="Verdana"/>
                <w:b w:val="0"/>
                <w:sz w:val="18"/>
                <w:szCs w:val="18"/>
              </w:rPr>
            </w:pPr>
            <w:r w:rsidRPr="00F523FE">
              <w:rPr>
                <w:rFonts w:ascii="Verdana" w:hAnsi="Verdana"/>
                <w:b w:val="0"/>
                <w:sz w:val="18"/>
                <w:szCs w:val="18"/>
              </w:rPr>
              <w:t>Los Planes de Acción Inmediata (PAI) consisten en una intensificación del sistema de trampeo y prospecciones de acción inmediata para determinar si el evento corresponde a una detección aislada o se trata de un brote de la plaga, en predios de vid entre las regiones de Atacama a Aysén.</w:t>
            </w:r>
          </w:p>
          <w:p w14:paraId="45748DE6" w14:textId="77777777" w:rsidR="007B3EBE" w:rsidRPr="00F523FE" w:rsidRDefault="007B3EBE" w:rsidP="007B3EBE">
            <w:pPr>
              <w:spacing w:before="120"/>
              <w:jc w:val="both"/>
              <w:rPr>
                <w:rFonts w:ascii="Verdana" w:hAnsi="Verdana"/>
                <w:b w:val="0"/>
                <w:sz w:val="18"/>
                <w:szCs w:val="18"/>
              </w:rPr>
            </w:pPr>
            <w:r w:rsidRPr="00F523FE">
              <w:rPr>
                <w:rFonts w:ascii="Verdana" w:hAnsi="Verdana"/>
                <w:b w:val="0"/>
                <w:sz w:val="18"/>
                <w:szCs w:val="18"/>
              </w:rPr>
              <w:t xml:space="preserve">Durante el 2019, se registraron 22 detecciones de </w:t>
            </w:r>
            <w:proofErr w:type="spellStart"/>
            <w:r w:rsidRPr="007B3EBE">
              <w:rPr>
                <w:rFonts w:ascii="Verdana" w:hAnsi="Verdana"/>
                <w:b w:val="0"/>
                <w:i/>
                <w:sz w:val="18"/>
                <w:szCs w:val="18"/>
              </w:rPr>
              <w:t>Lobesia</w:t>
            </w:r>
            <w:proofErr w:type="spellEnd"/>
            <w:r w:rsidRPr="007B3EBE">
              <w:rPr>
                <w:rFonts w:ascii="Verdana" w:hAnsi="Verdana"/>
                <w:b w:val="0"/>
                <w:i/>
                <w:sz w:val="18"/>
                <w:szCs w:val="18"/>
              </w:rPr>
              <w:t xml:space="preserve"> </w:t>
            </w:r>
            <w:proofErr w:type="spellStart"/>
            <w:r w:rsidRPr="007B3EBE">
              <w:rPr>
                <w:rFonts w:ascii="Verdana" w:hAnsi="Verdana"/>
                <w:b w:val="0"/>
                <w:i/>
                <w:sz w:val="18"/>
                <w:szCs w:val="18"/>
              </w:rPr>
              <w:t>botrana</w:t>
            </w:r>
            <w:proofErr w:type="spellEnd"/>
            <w:r w:rsidRPr="00F523FE">
              <w:rPr>
                <w:rFonts w:ascii="Verdana" w:hAnsi="Verdana"/>
                <w:b w:val="0"/>
                <w:sz w:val="18"/>
                <w:szCs w:val="18"/>
              </w:rPr>
              <w:t xml:space="preserve"> en predios de vid fuera del Área Reglamentada en 6 regiones. En cada uno de estos eventos se implementó oportunamente el Plan de Acciones Inmediatas en un plazo máximo de 4 días hábiles, cumpliendo así con el 100% del compromiso asumido.  </w:t>
            </w:r>
          </w:p>
          <w:p w14:paraId="2374829A" w14:textId="77777777" w:rsidR="007B3EBE" w:rsidRDefault="007B3EBE" w:rsidP="00697686">
            <w:pPr>
              <w:spacing w:before="120"/>
              <w:jc w:val="both"/>
              <w:rPr>
                <w:rFonts w:ascii="Verdana" w:hAnsi="Verdana"/>
                <w:b w:val="0"/>
                <w:sz w:val="18"/>
                <w:szCs w:val="18"/>
              </w:rPr>
            </w:pPr>
          </w:p>
          <w:tbl>
            <w:tblPr>
              <w:tblW w:w="8592" w:type="dxa"/>
              <w:tblCellMar>
                <w:left w:w="0" w:type="dxa"/>
                <w:right w:w="0" w:type="dxa"/>
              </w:tblCellMar>
              <w:tblLook w:val="04A0" w:firstRow="1" w:lastRow="0" w:firstColumn="1" w:lastColumn="0" w:noHBand="0" w:noVBand="1"/>
            </w:tblPr>
            <w:tblGrid>
              <w:gridCol w:w="1862"/>
              <w:gridCol w:w="2831"/>
              <w:gridCol w:w="3899"/>
            </w:tblGrid>
            <w:tr w:rsidR="007B3EBE" w:rsidRPr="00F523FE" w14:paraId="3BF06FC8" w14:textId="77777777" w:rsidTr="0059613C">
              <w:trPr>
                <w:trHeight w:val="971"/>
              </w:trPr>
              <w:tc>
                <w:tcPr>
                  <w:tcW w:w="1862" w:type="dxa"/>
                  <w:tcBorders>
                    <w:top w:val="single" w:sz="8" w:space="0" w:color="auto"/>
                    <w:left w:val="single" w:sz="8" w:space="0" w:color="auto"/>
                    <w:bottom w:val="single" w:sz="8" w:space="0" w:color="auto"/>
                    <w:right w:val="single" w:sz="8" w:space="0" w:color="auto"/>
                  </w:tcBorders>
                  <w:shd w:val="clear" w:color="auto" w:fill="DEEAF6" w:themeFill="accent1" w:themeFillTint="33"/>
                  <w:noWrap/>
                  <w:tcMar>
                    <w:top w:w="0" w:type="dxa"/>
                    <w:left w:w="70" w:type="dxa"/>
                    <w:bottom w:w="0" w:type="dxa"/>
                    <w:right w:w="70" w:type="dxa"/>
                  </w:tcMar>
                  <w:vAlign w:val="center"/>
                  <w:hideMark/>
                </w:tcPr>
                <w:p w14:paraId="47C323D0" w14:textId="77777777" w:rsidR="007B3EBE" w:rsidRPr="00F523FE" w:rsidRDefault="007B3EBE" w:rsidP="007B3EBE">
                  <w:pPr>
                    <w:spacing w:after="0"/>
                    <w:jc w:val="center"/>
                    <w:rPr>
                      <w:rFonts w:ascii="Verdana" w:hAnsi="Verdana"/>
                      <w:sz w:val="18"/>
                      <w:szCs w:val="18"/>
                    </w:rPr>
                  </w:pPr>
                  <w:r w:rsidRPr="00F523FE">
                    <w:rPr>
                      <w:rFonts w:ascii="Verdana" w:hAnsi="Verdana"/>
                      <w:b/>
                      <w:bCs/>
                      <w:sz w:val="18"/>
                      <w:szCs w:val="18"/>
                      <w:lang w:eastAsia="es-CL"/>
                    </w:rPr>
                    <w:t>REGIÓN</w:t>
                  </w:r>
                </w:p>
              </w:tc>
              <w:tc>
                <w:tcPr>
                  <w:tcW w:w="2831" w:type="dxa"/>
                  <w:tcBorders>
                    <w:top w:val="single" w:sz="8" w:space="0" w:color="auto"/>
                    <w:left w:val="nil"/>
                    <w:bottom w:val="single" w:sz="8" w:space="0" w:color="auto"/>
                    <w:right w:val="single" w:sz="4" w:space="0" w:color="auto"/>
                  </w:tcBorders>
                  <w:shd w:val="clear" w:color="auto" w:fill="DEEAF6" w:themeFill="accent1" w:themeFillTint="33"/>
                </w:tcPr>
                <w:p w14:paraId="2441C28C" w14:textId="77777777" w:rsidR="007B3EBE" w:rsidRPr="00F523FE" w:rsidRDefault="007B3EBE" w:rsidP="007B3EBE">
                  <w:pPr>
                    <w:spacing w:after="0"/>
                    <w:jc w:val="center"/>
                    <w:rPr>
                      <w:rFonts w:ascii="Verdana" w:hAnsi="Verdana"/>
                      <w:b/>
                      <w:bCs/>
                      <w:sz w:val="18"/>
                      <w:szCs w:val="18"/>
                      <w:lang w:eastAsia="es-CL"/>
                    </w:rPr>
                  </w:pPr>
                  <w:r w:rsidRPr="00F523FE">
                    <w:rPr>
                      <w:rFonts w:ascii="Verdana" w:hAnsi="Verdana"/>
                      <w:b/>
                      <w:bCs/>
                      <w:sz w:val="18"/>
                      <w:szCs w:val="18"/>
                      <w:lang w:eastAsia="es-CL"/>
                    </w:rPr>
                    <w:t xml:space="preserve">Número de detecciones de </w:t>
                  </w:r>
                  <w:proofErr w:type="spellStart"/>
                  <w:r w:rsidRPr="00F523FE">
                    <w:rPr>
                      <w:rFonts w:ascii="Verdana" w:hAnsi="Verdana"/>
                      <w:b/>
                      <w:bCs/>
                      <w:i/>
                      <w:sz w:val="18"/>
                      <w:szCs w:val="18"/>
                      <w:lang w:eastAsia="es-CL"/>
                    </w:rPr>
                    <w:t>Lobesia</w:t>
                  </w:r>
                  <w:proofErr w:type="spellEnd"/>
                  <w:r w:rsidRPr="00F523FE">
                    <w:rPr>
                      <w:rFonts w:ascii="Verdana" w:hAnsi="Verdana"/>
                      <w:b/>
                      <w:bCs/>
                      <w:i/>
                      <w:sz w:val="18"/>
                      <w:szCs w:val="18"/>
                      <w:lang w:eastAsia="es-CL"/>
                    </w:rPr>
                    <w:t xml:space="preserve"> </w:t>
                  </w:r>
                  <w:proofErr w:type="spellStart"/>
                  <w:r w:rsidRPr="00F523FE">
                    <w:rPr>
                      <w:rFonts w:ascii="Verdana" w:hAnsi="Verdana"/>
                      <w:b/>
                      <w:bCs/>
                      <w:i/>
                      <w:sz w:val="18"/>
                      <w:szCs w:val="18"/>
                      <w:lang w:eastAsia="es-CL"/>
                    </w:rPr>
                    <w:t>Botrana</w:t>
                  </w:r>
                  <w:proofErr w:type="spellEnd"/>
                  <w:r w:rsidRPr="00F523FE">
                    <w:rPr>
                      <w:rFonts w:ascii="Verdana" w:hAnsi="Verdana"/>
                      <w:b/>
                      <w:bCs/>
                      <w:sz w:val="18"/>
                      <w:szCs w:val="18"/>
                      <w:lang w:eastAsia="es-CL"/>
                    </w:rPr>
                    <w:t xml:space="preserve"> en predios de vid en el área libre en el año t</w:t>
                  </w:r>
                </w:p>
              </w:tc>
              <w:tc>
                <w:tcPr>
                  <w:tcW w:w="3899" w:type="dxa"/>
                  <w:tcBorders>
                    <w:top w:val="single" w:sz="8" w:space="0" w:color="auto"/>
                    <w:left w:val="single" w:sz="4" w:space="0" w:color="auto"/>
                    <w:bottom w:val="single" w:sz="8" w:space="0" w:color="auto"/>
                    <w:right w:val="single" w:sz="8" w:space="0" w:color="auto"/>
                  </w:tcBorders>
                  <w:shd w:val="clear" w:color="auto" w:fill="DEEAF6" w:themeFill="accent1" w:themeFillTint="33"/>
                  <w:noWrap/>
                  <w:tcMar>
                    <w:top w:w="0" w:type="dxa"/>
                    <w:left w:w="70" w:type="dxa"/>
                    <w:bottom w:w="0" w:type="dxa"/>
                    <w:right w:w="70" w:type="dxa"/>
                  </w:tcMar>
                  <w:vAlign w:val="center"/>
                  <w:hideMark/>
                </w:tcPr>
                <w:p w14:paraId="09D1427D" w14:textId="77777777" w:rsidR="007B3EBE" w:rsidRPr="00F523FE" w:rsidRDefault="007B3EBE" w:rsidP="007B3EBE">
                  <w:pPr>
                    <w:spacing w:after="0"/>
                    <w:jc w:val="center"/>
                    <w:rPr>
                      <w:rFonts w:ascii="Verdana" w:hAnsi="Verdana"/>
                      <w:b/>
                      <w:sz w:val="18"/>
                      <w:szCs w:val="18"/>
                    </w:rPr>
                  </w:pPr>
                  <w:r w:rsidRPr="00F523FE">
                    <w:rPr>
                      <w:rFonts w:ascii="Verdana" w:hAnsi="Verdana"/>
                      <w:b/>
                      <w:bCs/>
                      <w:sz w:val="18"/>
                      <w:szCs w:val="18"/>
                      <w:lang w:eastAsia="es-CL"/>
                    </w:rPr>
                    <w:t xml:space="preserve">Número de detecciones de </w:t>
                  </w:r>
                  <w:proofErr w:type="spellStart"/>
                  <w:r w:rsidRPr="00F523FE">
                    <w:rPr>
                      <w:rFonts w:ascii="Verdana" w:hAnsi="Verdana"/>
                      <w:b/>
                      <w:bCs/>
                      <w:i/>
                      <w:sz w:val="18"/>
                      <w:szCs w:val="18"/>
                      <w:lang w:eastAsia="es-CL"/>
                    </w:rPr>
                    <w:t>Lobesia</w:t>
                  </w:r>
                  <w:proofErr w:type="spellEnd"/>
                  <w:r w:rsidRPr="00F523FE">
                    <w:rPr>
                      <w:rFonts w:ascii="Verdana" w:hAnsi="Verdana"/>
                      <w:b/>
                      <w:bCs/>
                      <w:i/>
                      <w:sz w:val="18"/>
                      <w:szCs w:val="18"/>
                      <w:lang w:eastAsia="es-CL"/>
                    </w:rPr>
                    <w:t xml:space="preserve"> </w:t>
                  </w:r>
                  <w:proofErr w:type="spellStart"/>
                  <w:r w:rsidRPr="00F523FE">
                    <w:rPr>
                      <w:rFonts w:ascii="Verdana" w:hAnsi="Verdana"/>
                      <w:b/>
                      <w:bCs/>
                      <w:i/>
                      <w:sz w:val="18"/>
                      <w:szCs w:val="18"/>
                      <w:lang w:eastAsia="es-CL"/>
                    </w:rPr>
                    <w:t>Botrana</w:t>
                  </w:r>
                  <w:proofErr w:type="spellEnd"/>
                  <w:r w:rsidRPr="00F523FE">
                    <w:rPr>
                      <w:rFonts w:ascii="Verdana" w:hAnsi="Verdana"/>
                      <w:b/>
                      <w:bCs/>
                      <w:sz w:val="18"/>
                      <w:szCs w:val="18"/>
                      <w:lang w:eastAsia="es-CL"/>
                    </w:rPr>
                    <w:t xml:space="preserve"> en predios de vid en el </w:t>
                  </w:r>
                  <w:proofErr w:type="spellStart"/>
                  <w:r w:rsidRPr="00F523FE">
                    <w:rPr>
                      <w:rFonts w:ascii="Verdana" w:hAnsi="Verdana"/>
                      <w:b/>
                      <w:bCs/>
                      <w:sz w:val="18"/>
                      <w:szCs w:val="18"/>
                      <w:lang w:eastAsia="es-CL"/>
                    </w:rPr>
                    <w:t>area</w:t>
                  </w:r>
                  <w:proofErr w:type="spellEnd"/>
                  <w:r w:rsidRPr="00F523FE">
                    <w:rPr>
                      <w:rFonts w:ascii="Verdana" w:hAnsi="Verdana"/>
                      <w:b/>
                      <w:bCs/>
                      <w:sz w:val="18"/>
                      <w:szCs w:val="18"/>
                      <w:lang w:eastAsia="es-CL"/>
                    </w:rPr>
                    <w:t xml:space="preserve"> libre con implementación de acciones inmediatas en un plazo máximo de 4 días hábiles, en el año t</w:t>
                  </w:r>
                </w:p>
              </w:tc>
            </w:tr>
            <w:tr w:rsidR="007B3EBE" w:rsidRPr="00F523FE" w14:paraId="017AAAF9" w14:textId="77777777" w:rsidTr="0059613C">
              <w:trPr>
                <w:trHeight w:val="67"/>
              </w:trPr>
              <w:tc>
                <w:tcPr>
                  <w:tcW w:w="186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11FD123E" w14:textId="77777777" w:rsidR="007B3EBE" w:rsidRPr="00F523FE" w:rsidRDefault="007B3EBE" w:rsidP="007B3EBE">
                  <w:pPr>
                    <w:spacing w:after="0"/>
                    <w:rPr>
                      <w:rFonts w:ascii="Verdana" w:hAnsi="Verdana"/>
                      <w:sz w:val="18"/>
                      <w:szCs w:val="18"/>
                      <w:lang w:eastAsia="es-CL"/>
                    </w:rPr>
                  </w:pPr>
                  <w:r w:rsidRPr="00F523FE">
                    <w:rPr>
                      <w:rFonts w:ascii="Verdana" w:hAnsi="Verdana"/>
                      <w:sz w:val="18"/>
                      <w:szCs w:val="18"/>
                      <w:lang w:eastAsia="es-CL"/>
                    </w:rPr>
                    <w:t>Coquimbo</w:t>
                  </w:r>
                </w:p>
              </w:tc>
              <w:tc>
                <w:tcPr>
                  <w:tcW w:w="2831" w:type="dxa"/>
                  <w:tcBorders>
                    <w:top w:val="nil"/>
                    <w:left w:val="nil"/>
                    <w:bottom w:val="single" w:sz="8" w:space="0" w:color="auto"/>
                    <w:right w:val="single" w:sz="4" w:space="0" w:color="auto"/>
                  </w:tcBorders>
                </w:tcPr>
                <w:p w14:paraId="34B18C0C" w14:textId="77777777" w:rsidR="007B3EBE" w:rsidRPr="00F523FE" w:rsidRDefault="007B3EBE" w:rsidP="007B3EBE">
                  <w:pPr>
                    <w:spacing w:after="0"/>
                    <w:jc w:val="center"/>
                    <w:rPr>
                      <w:rFonts w:ascii="Verdana" w:hAnsi="Verdana"/>
                      <w:sz w:val="18"/>
                      <w:szCs w:val="18"/>
                      <w:lang w:eastAsia="es-CL"/>
                    </w:rPr>
                  </w:pPr>
                  <w:r w:rsidRPr="00F523FE">
                    <w:rPr>
                      <w:rFonts w:ascii="Verdana" w:hAnsi="Verdana"/>
                      <w:sz w:val="18"/>
                      <w:szCs w:val="18"/>
                      <w:lang w:eastAsia="es-CL"/>
                    </w:rPr>
                    <w:t>3</w:t>
                  </w:r>
                </w:p>
              </w:tc>
              <w:tc>
                <w:tcPr>
                  <w:tcW w:w="3899" w:type="dxa"/>
                  <w:tcBorders>
                    <w:top w:val="single" w:sz="8" w:space="0" w:color="auto"/>
                    <w:left w:val="single" w:sz="4" w:space="0" w:color="auto"/>
                    <w:bottom w:val="single" w:sz="8" w:space="0" w:color="auto"/>
                    <w:right w:val="single" w:sz="8" w:space="0" w:color="auto"/>
                  </w:tcBorders>
                  <w:noWrap/>
                  <w:tcMar>
                    <w:top w:w="0" w:type="dxa"/>
                    <w:left w:w="70" w:type="dxa"/>
                    <w:bottom w:w="0" w:type="dxa"/>
                    <w:right w:w="70" w:type="dxa"/>
                  </w:tcMar>
                </w:tcPr>
                <w:p w14:paraId="1A5672B1" w14:textId="77777777" w:rsidR="007B3EBE" w:rsidRPr="00F523FE" w:rsidRDefault="007B3EBE" w:rsidP="007B3EBE">
                  <w:pPr>
                    <w:spacing w:after="0"/>
                    <w:jc w:val="center"/>
                    <w:rPr>
                      <w:rFonts w:ascii="Verdana" w:hAnsi="Verdana"/>
                      <w:sz w:val="18"/>
                      <w:szCs w:val="18"/>
                      <w:lang w:eastAsia="es-CL"/>
                    </w:rPr>
                  </w:pPr>
                  <w:r w:rsidRPr="00F523FE">
                    <w:rPr>
                      <w:rFonts w:ascii="Verdana" w:hAnsi="Verdana"/>
                      <w:sz w:val="18"/>
                      <w:szCs w:val="18"/>
                      <w:lang w:eastAsia="es-CL"/>
                    </w:rPr>
                    <w:t>3</w:t>
                  </w:r>
                </w:p>
              </w:tc>
            </w:tr>
            <w:tr w:rsidR="007B3EBE" w:rsidRPr="00F523FE" w14:paraId="2FC1A4E0" w14:textId="77777777" w:rsidTr="0059613C">
              <w:trPr>
                <w:trHeight w:val="67"/>
              </w:trPr>
              <w:tc>
                <w:tcPr>
                  <w:tcW w:w="186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9FDCE8C" w14:textId="77777777" w:rsidR="007B3EBE" w:rsidRPr="00F523FE" w:rsidRDefault="007B3EBE" w:rsidP="007B3EBE">
                  <w:pPr>
                    <w:spacing w:after="0"/>
                    <w:rPr>
                      <w:rFonts w:ascii="Verdana" w:hAnsi="Verdana"/>
                      <w:sz w:val="18"/>
                      <w:szCs w:val="18"/>
                    </w:rPr>
                  </w:pPr>
                  <w:r w:rsidRPr="00F523FE">
                    <w:rPr>
                      <w:rFonts w:ascii="Verdana" w:hAnsi="Verdana"/>
                      <w:sz w:val="18"/>
                      <w:szCs w:val="18"/>
                      <w:lang w:eastAsia="es-CL"/>
                    </w:rPr>
                    <w:t>Valparaíso</w:t>
                  </w:r>
                </w:p>
              </w:tc>
              <w:tc>
                <w:tcPr>
                  <w:tcW w:w="2831" w:type="dxa"/>
                  <w:tcBorders>
                    <w:top w:val="nil"/>
                    <w:left w:val="nil"/>
                    <w:bottom w:val="single" w:sz="8" w:space="0" w:color="auto"/>
                    <w:right w:val="single" w:sz="4" w:space="0" w:color="auto"/>
                  </w:tcBorders>
                </w:tcPr>
                <w:p w14:paraId="78E9C49F" w14:textId="77777777" w:rsidR="007B3EBE" w:rsidRPr="00F523FE" w:rsidRDefault="007B3EBE" w:rsidP="007B3EBE">
                  <w:pPr>
                    <w:spacing w:after="0"/>
                    <w:jc w:val="center"/>
                    <w:rPr>
                      <w:rFonts w:ascii="Verdana" w:hAnsi="Verdana"/>
                      <w:sz w:val="18"/>
                      <w:szCs w:val="18"/>
                      <w:lang w:eastAsia="es-CL"/>
                    </w:rPr>
                  </w:pPr>
                  <w:r w:rsidRPr="00F523FE">
                    <w:rPr>
                      <w:rFonts w:ascii="Verdana" w:hAnsi="Verdana"/>
                      <w:sz w:val="18"/>
                      <w:szCs w:val="18"/>
                      <w:lang w:eastAsia="es-CL"/>
                    </w:rPr>
                    <w:t>2</w:t>
                  </w:r>
                </w:p>
              </w:tc>
              <w:tc>
                <w:tcPr>
                  <w:tcW w:w="3899" w:type="dxa"/>
                  <w:tcBorders>
                    <w:top w:val="single" w:sz="8" w:space="0" w:color="auto"/>
                    <w:left w:val="single" w:sz="4" w:space="0" w:color="auto"/>
                    <w:bottom w:val="single" w:sz="8" w:space="0" w:color="auto"/>
                    <w:right w:val="single" w:sz="8" w:space="0" w:color="auto"/>
                  </w:tcBorders>
                  <w:noWrap/>
                  <w:tcMar>
                    <w:top w:w="0" w:type="dxa"/>
                    <w:left w:w="70" w:type="dxa"/>
                    <w:bottom w:w="0" w:type="dxa"/>
                    <w:right w:w="70" w:type="dxa"/>
                  </w:tcMar>
                  <w:hideMark/>
                </w:tcPr>
                <w:p w14:paraId="3B29056B" w14:textId="77777777" w:rsidR="007B3EBE" w:rsidRPr="00F523FE" w:rsidRDefault="007B3EBE" w:rsidP="007B3EBE">
                  <w:pPr>
                    <w:spacing w:after="0"/>
                    <w:jc w:val="center"/>
                    <w:rPr>
                      <w:rFonts w:ascii="Verdana" w:hAnsi="Verdana"/>
                      <w:sz w:val="18"/>
                      <w:szCs w:val="18"/>
                      <w:lang w:eastAsia="es-CL"/>
                    </w:rPr>
                  </w:pPr>
                  <w:r w:rsidRPr="00F523FE">
                    <w:rPr>
                      <w:rFonts w:ascii="Verdana" w:hAnsi="Verdana"/>
                      <w:sz w:val="18"/>
                      <w:szCs w:val="18"/>
                      <w:lang w:eastAsia="es-CL"/>
                    </w:rPr>
                    <w:t>2</w:t>
                  </w:r>
                </w:p>
              </w:tc>
            </w:tr>
            <w:tr w:rsidR="007B3EBE" w:rsidRPr="00F523FE" w14:paraId="4E1FAD39" w14:textId="77777777" w:rsidTr="0059613C">
              <w:trPr>
                <w:trHeight w:val="84"/>
              </w:trPr>
              <w:tc>
                <w:tcPr>
                  <w:tcW w:w="186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2DEF866" w14:textId="77777777" w:rsidR="007B3EBE" w:rsidRPr="00F523FE" w:rsidRDefault="007B3EBE" w:rsidP="007B3EBE">
                  <w:pPr>
                    <w:spacing w:after="0"/>
                    <w:rPr>
                      <w:rFonts w:ascii="Verdana" w:hAnsi="Verdana"/>
                      <w:sz w:val="18"/>
                      <w:szCs w:val="18"/>
                    </w:rPr>
                  </w:pPr>
                  <w:r w:rsidRPr="00F523FE">
                    <w:rPr>
                      <w:rFonts w:ascii="Verdana" w:hAnsi="Verdana"/>
                      <w:sz w:val="18"/>
                      <w:szCs w:val="18"/>
                      <w:lang w:eastAsia="es-CL"/>
                    </w:rPr>
                    <w:t>O’Higgins</w:t>
                  </w:r>
                </w:p>
              </w:tc>
              <w:tc>
                <w:tcPr>
                  <w:tcW w:w="2831" w:type="dxa"/>
                  <w:tcBorders>
                    <w:top w:val="nil"/>
                    <w:left w:val="nil"/>
                    <w:bottom w:val="single" w:sz="8" w:space="0" w:color="auto"/>
                    <w:right w:val="single" w:sz="4" w:space="0" w:color="auto"/>
                  </w:tcBorders>
                </w:tcPr>
                <w:p w14:paraId="2EEC1E6C" w14:textId="77777777" w:rsidR="007B3EBE" w:rsidRPr="00F523FE" w:rsidRDefault="007B3EBE" w:rsidP="007B3EBE">
                  <w:pPr>
                    <w:spacing w:after="0"/>
                    <w:jc w:val="center"/>
                    <w:rPr>
                      <w:rFonts w:ascii="Verdana" w:hAnsi="Verdana"/>
                      <w:sz w:val="18"/>
                      <w:szCs w:val="18"/>
                      <w:lang w:eastAsia="es-CL"/>
                    </w:rPr>
                  </w:pPr>
                  <w:r w:rsidRPr="00F523FE">
                    <w:rPr>
                      <w:rFonts w:ascii="Verdana" w:hAnsi="Verdana"/>
                      <w:sz w:val="18"/>
                      <w:szCs w:val="18"/>
                      <w:lang w:eastAsia="es-CL"/>
                    </w:rPr>
                    <w:t>1</w:t>
                  </w:r>
                </w:p>
              </w:tc>
              <w:tc>
                <w:tcPr>
                  <w:tcW w:w="3899" w:type="dxa"/>
                  <w:tcBorders>
                    <w:top w:val="single" w:sz="8" w:space="0" w:color="auto"/>
                    <w:left w:val="single" w:sz="4" w:space="0" w:color="auto"/>
                    <w:bottom w:val="single" w:sz="8" w:space="0" w:color="auto"/>
                    <w:right w:val="single" w:sz="8" w:space="0" w:color="auto"/>
                  </w:tcBorders>
                  <w:noWrap/>
                  <w:tcMar>
                    <w:top w:w="0" w:type="dxa"/>
                    <w:left w:w="70" w:type="dxa"/>
                    <w:bottom w:w="0" w:type="dxa"/>
                    <w:right w:w="70" w:type="dxa"/>
                  </w:tcMar>
                  <w:hideMark/>
                </w:tcPr>
                <w:p w14:paraId="3357E602" w14:textId="77777777" w:rsidR="007B3EBE" w:rsidRPr="00F523FE" w:rsidRDefault="007B3EBE" w:rsidP="007B3EBE">
                  <w:pPr>
                    <w:spacing w:after="0"/>
                    <w:jc w:val="center"/>
                    <w:rPr>
                      <w:rFonts w:ascii="Verdana" w:hAnsi="Verdana"/>
                      <w:sz w:val="18"/>
                      <w:szCs w:val="18"/>
                      <w:lang w:eastAsia="es-CL"/>
                    </w:rPr>
                  </w:pPr>
                  <w:r w:rsidRPr="00F523FE">
                    <w:rPr>
                      <w:rFonts w:ascii="Verdana" w:hAnsi="Verdana"/>
                      <w:sz w:val="18"/>
                      <w:szCs w:val="18"/>
                      <w:lang w:eastAsia="es-CL"/>
                    </w:rPr>
                    <w:t>1</w:t>
                  </w:r>
                </w:p>
              </w:tc>
            </w:tr>
            <w:tr w:rsidR="007B3EBE" w:rsidRPr="00F523FE" w14:paraId="12EA9E11" w14:textId="77777777" w:rsidTr="0059613C">
              <w:trPr>
                <w:trHeight w:val="67"/>
              </w:trPr>
              <w:tc>
                <w:tcPr>
                  <w:tcW w:w="186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0453D06" w14:textId="77777777" w:rsidR="007B3EBE" w:rsidRPr="00F523FE" w:rsidRDefault="007B3EBE" w:rsidP="007B3EBE">
                  <w:pPr>
                    <w:spacing w:after="0"/>
                    <w:rPr>
                      <w:rFonts w:ascii="Verdana" w:hAnsi="Verdana"/>
                      <w:sz w:val="18"/>
                      <w:szCs w:val="18"/>
                    </w:rPr>
                  </w:pPr>
                  <w:r w:rsidRPr="00F523FE">
                    <w:rPr>
                      <w:rFonts w:ascii="Verdana" w:hAnsi="Verdana"/>
                      <w:sz w:val="18"/>
                      <w:szCs w:val="18"/>
                      <w:lang w:eastAsia="es-CL"/>
                    </w:rPr>
                    <w:t>Maule</w:t>
                  </w:r>
                </w:p>
              </w:tc>
              <w:tc>
                <w:tcPr>
                  <w:tcW w:w="2831" w:type="dxa"/>
                  <w:tcBorders>
                    <w:top w:val="nil"/>
                    <w:left w:val="nil"/>
                    <w:bottom w:val="single" w:sz="8" w:space="0" w:color="auto"/>
                    <w:right w:val="single" w:sz="4" w:space="0" w:color="auto"/>
                  </w:tcBorders>
                </w:tcPr>
                <w:p w14:paraId="6B42D66F" w14:textId="77777777" w:rsidR="007B3EBE" w:rsidRPr="00F523FE" w:rsidRDefault="007B3EBE" w:rsidP="007B3EBE">
                  <w:pPr>
                    <w:spacing w:after="0"/>
                    <w:jc w:val="center"/>
                    <w:rPr>
                      <w:rFonts w:ascii="Verdana" w:hAnsi="Verdana"/>
                      <w:sz w:val="18"/>
                      <w:szCs w:val="18"/>
                      <w:lang w:eastAsia="es-CL"/>
                    </w:rPr>
                  </w:pPr>
                  <w:r w:rsidRPr="00F523FE">
                    <w:rPr>
                      <w:rFonts w:ascii="Verdana" w:hAnsi="Verdana"/>
                      <w:sz w:val="18"/>
                      <w:szCs w:val="18"/>
                      <w:lang w:eastAsia="es-CL"/>
                    </w:rPr>
                    <w:t>4</w:t>
                  </w:r>
                </w:p>
              </w:tc>
              <w:tc>
                <w:tcPr>
                  <w:tcW w:w="3899" w:type="dxa"/>
                  <w:tcBorders>
                    <w:top w:val="single" w:sz="8" w:space="0" w:color="auto"/>
                    <w:left w:val="single" w:sz="4" w:space="0" w:color="auto"/>
                    <w:bottom w:val="single" w:sz="8" w:space="0" w:color="auto"/>
                    <w:right w:val="single" w:sz="8" w:space="0" w:color="auto"/>
                  </w:tcBorders>
                  <w:noWrap/>
                  <w:tcMar>
                    <w:top w:w="0" w:type="dxa"/>
                    <w:left w:w="70" w:type="dxa"/>
                    <w:bottom w:w="0" w:type="dxa"/>
                    <w:right w:w="70" w:type="dxa"/>
                  </w:tcMar>
                  <w:hideMark/>
                </w:tcPr>
                <w:p w14:paraId="7E29568F" w14:textId="77777777" w:rsidR="007B3EBE" w:rsidRPr="00F523FE" w:rsidRDefault="007B3EBE" w:rsidP="007B3EBE">
                  <w:pPr>
                    <w:spacing w:after="0"/>
                    <w:jc w:val="center"/>
                    <w:rPr>
                      <w:rFonts w:ascii="Verdana" w:hAnsi="Verdana"/>
                      <w:sz w:val="18"/>
                      <w:szCs w:val="18"/>
                      <w:lang w:eastAsia="es-CL"/>
                    </w:rPr>
                  </w:pPr>
                  <w:r w:rsidRPr="00F523FE">
                    <w:rPr>
                      <w:rFonts w:ascii="Verdana" w:hAnsi="Verdana"/>
                      <w:sz w:val="18"/>
                      <w:szCs w:val="18"/>
                      <w:lang w:eastAsia="es-CL"/>
                    </w:rPr>
                    <w:t>4</w:t>
                  </w:r>
                </w:p>
              </w:tc>
            </w:tr>
            <w:tr w:rsidR="007B3EBE" w:rsidRPr="00F523FE" w14:paraId="62BCB25E" w14:textId="77777777" w:rsidTr="0059613C">
              <w:trPr>
                <w:trHeight w:val="67"/>
              </w:trPr>
              <w:tc>
                <w:tcPr>
                  <w:tcW w:w="186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4DBEBE3A" w14:textId="77777777" w:rsidR="007B3EBE" w:rsidRPr="00F523FE" w:rsidRDefault="007B3EBE" w:rsidP="007B3EBE">
                  <w:pPr>
                    <w:spacing w:after="0"/>
                    <w:rPr>
                      <w:rFonts w:ascii="Verdana" w:hAnsi="Verdana"/>
                      <w:sz w:val="18"/>
                      <w:szCs w:val="18"/>
                      <w:lang w:eastAsia="es-CL"/>
                    </w:rPr>
                  </w:pPr>
                  <w:r w:rsidRPr="00F523FE">
                    <w:rPr>
                      <w:rFonts w:ascii="Verdana" w:hAnsi="Verdana"/>
                      <w:sz w:val="18"/>
                      <w:szCs w:val="18"/>
                      <w:lang w:eastAsia="es-CL"/>
                    </w:rPr>
                    <w:t>Ñuble</w:t>
                  </w:r>
                </w:p>
              </w:tc>
              <w:tc>
                <w:tcPr>
                  <w:tcW w:w="2831" w:type="dxa"/>
                  <w:tcBorders>
                    <w:top w:val="nil"/>
                    <w:left w:val="nil"/>
                    <w:bottom w:val="single" w:sz="8" w:space="0" w:color="auto"/>
                    <w:right w:val="single" w:sz="4" w:space="0" w:color="auto"/>
                  </w:tcBorders>
                </w:tcPr>
                <w:p w14:paraId="29949EEC" w14:textId="77777777" w:rsidR="007B3EBE" w:rsidRPr="00F523FE" w:rsidRDefault="007B3EBE" w:rsidP="007B3EBE">
                  <w:pPr>
                    <w:spacing w:after="0"/>
                    <w:jc w:val="center"/>
                    <w:rPr>
                      <w:rFonts w:ascii="Verdana" w:hAnsi="Verdana"/>
                      <w:sz w:val="18"/>
                      <w:szCs w:val="18"/>
                      <w:lang w:eastAsia="es-CL"/>
                    </w:rPr>
                  </w:pPr>
                  <w:r w:rsidRPr="00F523FE">
                    <w:rPr>
                      <w:rFonts w:ascii="Verdana" w:hAnsi="Verdana"/>
                      <w:sz w:val="18"/>
                      <w:szCs w:val="18"/>
                      <w:lang w:eastAsia="es-CL"/>
                    </w:rPr>
                    <w:t>10</w:t>
                  </w:r>
                </w:p>
              </w:tc>
              <w:tc>
                <w:tcPr>
                  <w:tcW w:w="3899" w:type="dxa"/>
                  <w:tcBorders>
                    <w:top w:val="single" w:sz="8" w:space="0" w:color="auto"/>
                    <w:left w:val="single" w:sz="4" w:space="0" w:color="auto"/>
                    <w:bottom w:val="single" w:sz="8" w:space="0" w:color="auto"/>
                    <w:right w:val="single" w:sz="8" w:space="0" w:color="auto"/>
                  </w:tcBorders>
                  <w:noWrap/>
                  <w:tcMar>
                    <w:top w:w="0" w:type="dxa"/>
                    <w:left w:w="70" w:type="dxa"/>
                    <w:bottom w:w="0" w:type="dxa"/>
                    <w:right w:w="70" w:type="dxa"/>
                  </w:tcMar>
                </w:tcPr>
                <w:p w14:paraId="45A19422" w14:textId="77777777" w:rsidR="007B3EBE" w:rsidRPr="00F523FE" w:rsidRDefault="007B3EBE" w:rsidP="007B3EBE">
                  <w:pPr>
                    <w:spacing w:after="0"/>
                    <w:jc w:val="center"/>
                    <w:rPr>
                      <w:rFonts w:ascii="Verdana" w:hAnsi="Verdana"/>
                      <w:sz w:val="18"/>
                      <w:szCs w:val="18"/>
                      <w:lang w:eastAsia="es-CL"/>
                    </w:rPr>
                  </w:pPr>
                  <w:r w:rsidRPr="00F523FE">
                    <w:rPr>
                      <w:rFonts w:ascii="Verdana" w:hAnsi="Verdana"/>
                      <w:sz w:val="18"/>
                      <w:szCs w:val="18"/>
                      <w:lang w:eastAsia="es-CL"/>
                    </w:rPr>
                    <w:t>10</w:t>
                  </w:r>
                </w:p>
              </w:tc>
            </w:tr>
            <w:tr w:rsidR="007B3EBE" w:rsidRPr="00F523FE" w14:paraId="4E4D9BA0" w14:textId="77777777" w:rsidTr="0059613C">
              <w:trPr>
                <w:trHeight w:val="67"/>
              </w:trPr>
              <w:tc>
                <w:tcPr>
                  <w:tcW w:w="186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7C13AE11" w14:textId="77777777" w:rsidR="007B3EBE" w:rsidRPr="00F523FE" w:rsidRDefault="007B3EBE" w:rsidP="007B3EBE">
                  <w:pPr>
                    <w:spacing w:after="0"/>
                    <w:rPr>
                      <w:rFonts w:ascii="Verdana" w:hAnsi="Verdana"/>
                      <w:sz w:val="18"/>
                      <w:szCs w:val="18"/>
                      <w:lang w:eastAsia="es-CL"/>
                    </w:rPr>
                  </w:pPr>
                  <w:r w:rsidRPr="00F523FE">
                    <w:rPr>
                      <w:rFonts w:ascii="Verdana" w:hAnsi="Verdana"/>
                      <w:sz w:val="18"/>
                      <w:szCs w:val="18"/>
                      <w:lang w:eastAsia="es-CL"/>
                    </w:rPr>
                    <w:t>Biobío</w:t>
                  </w:r>
                </w:p>
              </w:tc>
              <w:tc>
                <w:tcPr>
                  <w:tcW w:w="2831" w:type="dxa"/>
                  <w:tcBorders>
                    <w:top w:val="nil"/>
                    <w:left w:val="nil"/>
                    <w:bottom w:val="single" w:sz="8" w:space="0" w:color="auto"/>
                    <w:right w:val="single" w:sz="4" w:space="0" w:color="auto"/>
                  </w:tcBorders>
                </w:tcPr>
                <w:p w14:paraId="1A09ADED" w14:textId="77777777" w:rsidR="007B3EBE" w:rsidRPr="00F523FE" w:rsidRDefault="007B3EBE" w:rsidP="007B3EBE">
                  <w:pPr>
                    <w:spacing w:after="0"/>
                    <w:jc w:val="center"/>
                    <w:rPr>
                      <w:rFonts w:ascii="Verdana" w:hAnsi="Verdana"/>
                      <w:sz w:val="18"/>
                      <w:szCs w:val="18"/>
                      <w:lang w:eastAsia="es-CL"/>
                    </w:rPr>
                  </w:pPr>
                  <w:r w:rsidRPr="00F523FE">
                    <w:rPr>
                      <w:rFonts w:ascii="Verdana" w:hAnsi="Verdana"/>
                      <w:sz w:val="18"/>
                      <w:szCs w:val="18"/>
                      <w:lang w:eastAsia="es-CL"/>
                    </w:rPr>
                    <w:t>2</w:t>
                  </w:r>
                </w:p>
              </w:tc>
              <w:tc>
                <w:tcPr>
                  <w:tcW w:w="3899" w:type="dxa"/>
                  <w:tcBorders>
                    <w:top w:val="single" w:sz="8" w:space="0" w:color="auto"/>
                    <w:left w:val="single" w:sz="4" w:space="0" w:color="auto"/>
                    <w:bottom w:val="single" w:sz="8" w:space="0" w:color="auto"/>
                    <w:right w:val="single" w:sz="8" w:space="0" w:color="auto"/>
                  </w:tcBorders>
                  <w:noWrap/>
                  <w:tcMar>
                    <w:top w:w="0" w:type="dxa"/>
                    <w:left w:w="70" w:type="dxa"/>
                    <w:bottom w:w="0" w:type="dxa"/>
                    <w:right w:w="70" w:type="dxa"/>
                  </w:tcMar>
                </w:tcPr>
                <w:p w14:paraId="0062185F" w14:textId="77777777" w:rsidR="007B3EBE" w:rsidRPr="00F523FE" w:rsidRDefault="007B3EBE" w:rsidP="007B3EBE">
                  <w:pPr>
                    <w:spacing w:after="0"/>
                    <w:jc w:val="center"/>
                    <w:rPr>
                      <w:rFonts w:ascii="Verdana" w:hAnsi="Verdana"/>
                      <w:sz w:val="18"/>
                      <w:szCs w:val="18"/>
                      <w:lang w:eastAsia="es-CL"/>
                    </w:rPr>
                  </w:pPr>
                  <w:r w:rsidRPr="00F523FE">
                    <w:rPr>
                      <w:rFonts w:ascii="Verdana" w:hAnsi="Verdana"/>
                      <w:sz w:val="18"/>
                      <w:szCs w:val="18"/>
                      <w:lang w:eastAsia="es-CL"/>
                    </w:rPr>
                    <w:t>2</w:t>
                  </w:r>
                </w:p>
              </w:tc>
            </w:tr>
            <w:tr w:rsidR="007B3EBE" w:rsidRPr="00F523FE" w14:paraId="7195DA5E" w14:textId="77777777" w:rsidTr="0059613C">
              <w:trPr>
                <w:trHeight w:val="67"/>
              </w:trPr>
              <w:tc>
                <w:tcPr>
                  <w:tcW w:w="1862" w:type="dxa"/>
                  <w:tcBorders>
                    <w:top w:val="nil"/>
                    <w:left w:val="single" w:sz="8" w:space="0" w:color="auto"/>
                    <w:bottom w:val="single" w:sz="8" w:space="0" w:color="auto"/>
                    <w:right w:val="single" w:sz="8" w:space="0" w:color="auto"/>
                  </w:tcBorders>
                  <w:shd w:val="clear" w:color="auto" w:fill="DEEAF6" w:themeFill="accent1" w:themeFillTint="33"/>
                  <w:noWrap/>
                  <w:tcMar>
                    <w:top w:w="0" w:type="dxa"/>
                    <w:left w:w="70" w:type="dxa"/>
                    <w:bottom w:w="0" w:type="dxa"/>
                    <w:right w:w="70" w:type="dxa"/>
                  </w:tcMar>
                  <w:vAlign w:val="bottom"/>
                </w:tcPr>
                <w:p w14:paraId="12581BED" w14:textId="77777777" w:rsidR="007B3EBE" w:rsidRPr="00F523FE" w:rsidRDefault="007B3EBE" w:rsidP="007B3EBE">
                  <w:pPr>
                    <w:spacing w:after="0"/>
                    <w:rPr>
                      <w:rFonts w:ascii="Verdana" w:hAnsi="Verdana"/>
                      <w:sz w:val="18"/>
                      <w:szCs w:val="18"/>
                      <w:lang w:eastAsia="es-CL"/>
                    </w:rPr>
                  </w:pPr>
                  <w:r w:rsidRPr="00F523FE">
                    <w:rPr>
                      <w:rFonts w:ascii="Verdana" w:hAnsi="Verdana"/>
                      <w:b/>
                      <w:bCs/>
                      <w:sz w:val="18"/>
                      <w:szCs w:val="18"/>
                      <w:lang w:eastAsia="es-CL"/>
                    </w:rPr>
                    <w:t>Total PAI</w:t>
                  </w:r>
                </w:p>
              </w:tc>
              <w:tc>
                <w:tcPr>
                  <w:tcW w:w="2831" w:type="dxa"/>
                  <w:tcBorders>
                    <w:top w:val="nil"/>
                    <w:left w:val="nil"/>
                    <w:bottom w:val="single" w:sz="8" w:space="0" w:color="auto"/>
                    <w:right w:val="single" w:sz="4" w:space="0" w:color="auto"/>
                  </w:tcBorders>
                  <w:shd w:val="clear" w:color="auto" w:fill="DEEAF6" w:themeFill="accent1" w:themeFillTint="33"/>
                </w:tcPr>
                <w:p w14:paraId="593409F2" w14:textId="77777777" w:rsidR="007B3EBE" w:rsidRPr="00F523FE" w:rsidRDefault="007B3EBE" w:rsidP="007B3EBE">
                  <w:pPr>
                    <w:spacing w:after="0"/>
                    <w:jc w:val="center"/>
                    <w:rPr>
                      <w:rFonts w:ascii="Verdana" w:hAnsi="Verdana"/>
                      <w:sz w:val="18"/>
                      <w:szCs w:val="18"/>
                      <w:lang w:eastAsia="es-CL"/>
                    </w:rPr>
                  </w:pPr>
                  <w:r w:rsidRPr="00F523FE">
                    <w:rPr>
                      <w:rFonts w:ascii="Verdana" w:hAnsi="Verdana"/>
                      <w:b/>
                      <w:bCs/>
                      <w:sz w:val="18"/>
                      <w:szCs w:val="18"/>
                      <w:lang w:eastAsia="es-CL"/>
                    </w:rPr>
                    <w:t>22</w:t>
                  </w:r>
                </w:p>
              </w:tc>
              <w:tc>
                <w:tcPr>
                  <w:tcW w:w="3899" w:type="dxa"/>
                  <w:tcBorders>
                    <w:top w:val="single" w:sz="8" w:space="0" w:color="auto"/>
                    <w:left w:val="single" w:sz="4" w:space="0" w:color="auto"/>
                    <w:bottom w:val="single" w:sz="8" w:space="0" w:color="auto"/>
                    <w:right w:val="single" w:sz="8" w:space="0" w:color="auto"/>
                  </w:tcBorders>
                  <w:shd w:val="clear" w:color="auto" w:fill="DEEAF6" w:themeFill="accent1" w:themeFillTint="33"/>
                  <w:noWrap/>
                  <w:tcMar>
                    <w:top w:w="0" w:type="dxa"/>
                    <w:left w:w="70" w:type="dxa"/>
                    <w:bottom w:w="0" w:type="dxa"/>
                    <w:right w:w="70" w:type="dxa"/>
                  </w:tcMar>
                </w:tcPr>
                <w:p w14:paraId="3C6E6141" w14:textId="77777777" w:rsidR="007B3EBE" w:rsidRPr="00F523FE" w:rsidRDefault="007B3EBE" w:rsidP="007B3EBE">
                  <w:pPr>
                    <w:spacing w:after="0"/>
                    <w:jc w:val="center"/>
                    <w:rPr>
                      <w:rFonts w:ascii="Verdana" w:hAnsi="Verdana"/>
                      <w:sz w:val="18"/>
                      <w:szCs w:val="18"/>
                      <w:lang w:eastAsia="es-CL"/>
                    </w:rPr>
                  </w:pPr>
                  <w:r w:rsidRPr="00F523FE">
                    <w:rPr>
                      <w:rFonts w:ascii="Verdana" w:hAnsi="Verdana"/>
                      <w:b/>
                      <w:bCs/>
                      <w:sz w:val="18"/>
                      <w:szCs w:val="18"/>
                      <w:lang w:eastAsia="es-CL"/>
                    </w:rPr>
                    <w:t>22</w:t>
                  </w:r>
                </w:p>
              </w:tc>
            </w:tr>
          </w:tbl>
          <w:p w14:paraId="1CE74D99" w14:textId="77777777" w:rsidR="000D75D2" w:rsidRDefault="000D75D2" w:rsidP="004A1A26">
            <w:pPr>
              <w:jc w:val="both"/>
              <w:rPr>
                <w:rFonts w:ascii="Verdana" w:hAnsi="Verdana"/>
                <w:b w:val="0"/>
                <w:sz w:val="18"/>
                <w:szCs w:val="18"/>
              </w:rPr>
            </w:pPr>
          </w:p>
          <w:p w14:paraId="7098AD63" w14:textId="77777777" w:rsidR="004A1A26" w:rsidRDefault="007B3EBE" w:rsidP="00B14131">
            <w:pPr>
              <w:jc w:val="both"/>
              <w:rPr>
                <w:rFonts w:ascii="Verdana" w:hAnsi="Verdana"/>
                <w:b w:val="0"/>
                <w:sz w:val="18"/>
                <w:szCs w:val="18"/>
              </w:rPr>
            </w:pPr>
            <w:r w:rsidRPr="00F523FE">
              <w:rPr>
                <w:rFonts w:ascii="Verdana" w:hAnsi="Verdana"/>
                <w:b w:val="0"/>
                <w:sz w:val="18"/>
                <w:szCs w:val="18"/>
              </w:rPr>
              <w:t>Los resultados obtenidos muestran que la plaga se encuentra explorando nuevas áreas, especialmente en la zona sur, por lo que son necesarias nuevas tecnologías o nuevas herramientas de control en el combate de la polilla, especialmente para los sectores urbanos contaminados.</w:t>
            </w:r>
          </w:p>
          <w:p w14:paraId="2C40A1C2" w14:textId="77777777" w:rsidR="007B3EBE" w:rsidRPr="00D72D50" w:rsidRDefault="007B3EBE" w:rsidP="00B14131">
            <w:pPr>
              <w:jc w:val="both"/>
              <w:rPr>
                <w:rFonts w:ascii="Verdana" w:hAnsi="Verdana"/>
                <w:sz w:val="18"/>
                <w:szCs w:val="18"/>
              </w:rPr>
            </w:pPr>
          </w:p>
        </w:tc>
      </w:tr>
    </w:tbl>
    <w:p w14:paraId="42C9CA35" w14:textId="77777777" w:rsidR="00C318A1" w:rsidRDefault="00C318A1" w:rsidP="00C0357D">
      <w:pPr>
        <w:ind w:left="360"/>
        <w:jc w:val="both"/>
        <w:rPr>
          <w:rFonts w:ascii="Verdana" w:hAnsi="Verdana"/>
          <w:sz w:val="18"/>
          <w:szCs w:val="18"/>
        </w:rPr>
      </w:pPr>
    </w:p>
    <w:p w14:paraId="525F2B25" w14:textId="77777777" w:rsidR="007B3EBE" w:rsidRDefault="007B3EBE" w:rsidP="00C0357D">
      <w:pPr>
        <w:ind w:left="360"/>
        <w:jc w:val="both"/>
        <w:rPr>
          <w:rFonts w:ascii="Verdana" w:hAnsi="Verdana"/>
          <w:sz w:val="18"/>
          <w:szCs w:val="18"/>
        </w:rPr>
      </w:pPr>
    </w:p>
    <w:p w14:paraId="280706C1" w14:textId="77777777" w:rsidR="0059613C" w:rsidRDefault="0059613C" w:rsidP="00C0357D">
      <w:pPr>
        <w:ind w:left="360"/>
        <w:jc w:val="both"/>
        <w:rPr>
          <w:rFonts w:ascii="Verdana" w:hAnsi="Verdana"/>
          <w:sz w:val="18"/>
          <w:szCs w:val="18"/>
        </w:rPr>
      </w:pPr>
    </w:p>
    <w:p w14:paraId="309AEB90" w14:textId="77777777" w:rsidR="007B3EBE" w:rsidRPr="00D72D50" w:rsidRDefault="007B3EBE" w:rsidP="00C0357D">
      <w:pPr>
        <w:ind w:left="360"/>
        <w:jc w:val="both"/>
        <w:rPr>
          <w:rFonts w:ascii="Verdana" w:hAnsi="Verdana"/>
          <w:sz w:val="18"/>
          <w:szCs w:val="18"/>
        </w:rPr>
      </w:pPr>
    </w:p>
    <w:tbl>
      <w:tblPr>
        <w:tblStyle w:val="Tabladecuadrcula4-nfasis11"/>
        <w:tblW w:w="5000" w:type="pct"/>
        <w:tblLook w:val="04A0" w:firstRow="1" w:lastRow="0" w:firstColumn="1" w:lastColumn="0" w:noHBand="0" w:noVBand="1"/>
      </w:tblPr>
      <w:tblGrid>
        <w:gridCol w:w="4957"/>
        <w:gridCol w:w="1418"/>
        <w:gridCol w:w="2453"/>
      </w:tblGrid>
      <w:tr w:rsidR="00EF594C" w14:paraId="688388A7" w14:textId="77777777" w:rsidTr="004711B9">
        <w:trPr>
          <w:cnfStyle w:val="100000000000" w:firstRow="1" w:lastRow="0" w:firstColumn="0" w:lastColumn="0" w:oddVBand="0" w:evenVBand="0" w:oddHBand="0" w:evenHBand="0" w:firstRowFirstColumn="0" w:firstRowLastColumn="0" w:lastRowFirstColumn="0" w:lastRowLastColumn="0"/>
          <w:trHeight w:val="109"/>
        </w:trPr>
        <w:tc>
          <w:tcPr>
            <w:cnfStyle w:val="001000000000" w:firstRow="0" w:lastRow="0" w:firstColumn="1" w:lastColumn="0" w:oddVBand="0" w:evenVBand="0" w:oddHBand="0" w:evenHBand="0" w:firstRowFirstColumn="0" w:firstRowLastColumn="0" w:lastRowFirstColumn="0" w:lastRowLastColumn="0"/>
            <w:tcW w:w="2808" w:type="pct"/>
          </w:tcPr>
          <w:p w14:paraId="424BB7CC" w14:textId="77777777" w:rsidR="00EF594C" w:rsidRPr="00D72D50" w:rsidRDefault="00EF594C" w:rsidP="00776881">
            <w:pPr>
              <w:jc w:val="center"/>
              <w:rPr>
                <w:rFonts w:ascii="Verdana" w:hAnsi="Verdana"/>
                <w:sz w:val="18"/>
                <w:szCs w:val="18"/>
              </w:rPr>
            </w:pPr>
            <w:r w:rsidRPr="00D72D50">
              <w:rPr>
                <w:rFonts w:ascii="Verdana" w:hAnsi="Verdana"/>
                <w:sz w:val="18"/>
                <w:szCs w:val="18"/>
              </w:rPr>
              <w:t>Objetivo Estratégico</w:t>
            </w:r>
          </w:p>
        </w:tc>
        <w:tc>
          <w:tcPr>
            <w:tcW w:w="2192" w:type="pct"/>
            <w:gridSpan w:val="2"/>
          </w:tcPr>
          <w:p w14:paraId="6DD6E7B2" w14:textId="77777777" w:rsidR="00EF594C" w:rsidRPr="00D72D50" w:rsidRDefault="00D17E22" w:rsidP="00776881">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sidRPr="00D72D50">
              <w:rPr>
                <w:rFonts w:ascii="Verdana" w:hAnsi="Verdana"/>
                <w:sz w:val="18"/>
                <w:szCs w:val="18"/>
              </w:rPr>
              <w:t>Objetivo Específico 201</w:t>
            </w:r>
            <w:r w:rsidR="00740C82">
              <w:rPr>
                <w:rFonts w:ascii="Verdana" w:hAnsi="Verdana"/>
                <w:sz w:val="18"/>
                <w:szCs w:val="18"/>
              </w:rPr>
              <w:t>9</w:t>
            </w:r>
            <w:r>
              <w:rPr>
                <w:rFonts w:ascii="Verdana" w:hAnsi="Verdana"/>
                <w:sz w:val="18"/>
                <w:szCs w:val="18"/>
              </w:rPr>
              <w:t xml:space="preserve"> (Táctico)</w:t>
            </w:r>
          </w:p>
        </w:tc>
      </w:tr>
      <w:tr w:rsidR="00EF594C" w14:paraId="25DB09C7" w14:textId="77777777" w:rsidTr="004711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pct"/>
          </w:tcPr>
          <w:p w14:paraId="191E6B93" w14:textId="77777777" w:rsidR="00EF594C" w:rsidRPr="001019D8" w:rsidRDefault="00740C82" w:rsidP="00776881">
            <w:pPr>
              <w:jc w:val="both"/>
              <w:rPr>
                <w:rFonts w:ascii="Verdana" w:hAnsi="Verdana"/>
                <w:sz w:val="18"/>
                <w:szCs w:val="18"/>
              </w:rPr>
            </w:pPr>
            <w:r w:rsidRPr="001019D8">
              <w:rPr>
                <w:rFonts w:ascii="Verdana" w:hAnsi="Verdana" w:cstheme="minorHAnsi"/>
                <w:sz w:val="20"/>
                <w:szCs w:val="20"/>
              </w:rPr>
              <w:t xml:space="preserve">Fortalecer el patrimonio </w:t>
            </w:r>
            <w:proofErr w:type="spellStart"/>
            <w:r w:rsidRPr="001019D8">
              <w:rPr>
                <w:rFonts w:ascii="Verdana" w:hAnsi="Verdana" w:cstheme="minorHAnsi"/>
                <w:sz w:val="20"/>
                <w:szCs w:val="20"/>
              </w:rPr>
              <w:t>fito</w:t>
            </w:r>
            <w:proofErr w:type="spellEnd"/>
            <w:r w:rsidRPr="001019D8">
              <w:rPr>
                <w:rFonts w:ascii="Verdana" w:hAnsi="Verdana" w:cstheme="minorHAnsi"/>
                <w:sz w:val="20"/>
                <w:szCs w:val="20"/>
              </w:rPr>
              <w:t xml:space="preserve"> y zoosanitario del país para apoyar el desarrollo sustentable y competitivo del sector </w:t>
            </w:r>
            <w:proofErr w:type="spellStart"/>
            <w:r w:rsidRPr="001019D8">
              <w:rPr>
                <w:rFonts w:ascii="Verdana" w:hAnsi="Verdana" w:cstheme="minorHAnsi"/>
                <w:sz w:val="20"/>
                <w:szCs w:val="20"/>
              </w:rPr>
              <w:t>silvoagropecuario</w:t>
            </w:r>
            <w:proofErr w:type="spellEnd"/>
            <w:r w:rsidRPr="001019D8">
              <w:rPr>
                <w:rFonts w:ascii="Verdana" w:hAnsi="Verdana" w:cstheme="minorHAnsi"/>
                <w:sz w:val="20"/>
                <w:szCs w:val="20"/>
              </w:rPr>
              <w:t xml:space="preserve"> nacional velando por el cumplimiento de la normativa de los ámbitos de acción del Servicio</w:t>
            </w:r>
            <w:r w:rsidR="002E67B1" w:rsidRPr="001019D8">
              <w:rPr>
                <w:rFonts w:ascii="Verdana" w:hAnsi="Verdana" w:cstheme="minorHAnsi"/>
                <w:sz w:val="20"/>
                <w:szCs w:val="20"/>
              </w:rPr>
              <w:t>.</w:t>
            </w:r>
          </w:p>
        </w:tc>
        <w:tc>
          <w:tcPr>
            <w:tcW w:w="2192" w:type="pct"/>
            <w:gridSpan w:val="2"/>
          </w:tcPr>
          <w:p w14:paraId="3F11B860" w14:textId="77777777" w:rsidR="00EF594C" w:rsidRPr="001019D8" w:rsidRDefault="00740C82" w:rsidP="00776881">
            <w:pPr>
              <w:jc w:val="both"/>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1019D8">
              <w:rPr>
                <w:rFonts w:ascii="Verdana" w:hAnsi="Verdana" w:cstheme="minorHAnsi"/>
                <w:sz w:val="20"/>
                <w:szCs w:val="20"/>
              </w:rPr>
              <w:t>Monitorear  Brucelosis bovina, de acuerdo a la estrategia técnica establecida.</w:t>
            </w:r>
          </w:p>
        </w:tc>
      </w:tr>
      <w:tr w:rsidR="00EF594C" w14:paraId="002B0562" w14:textId="77777777" w:rsidTr="004711B9">
        <w:trPr>
          <w:trHeight w:val="109"/>
        </w:trPr>
        <w:tc>
          <w:tcPr>
            <w:cnfStyle w:val="001000000000" w:firstRow="0" w:lastRow="0" w:firstColumn="1" w:lastColumn="0" w:oddVBand="0" w:evenVBand="0" w:oddHBand="0" w:evenHBand="0" w:firstRowFirstColumn="0" w:firstRowLastColumn="0" w:lastRowFirstColumn="0" w:lastRowLastColumn="0"/>
            <w:tcW w:w="2808" w:type="pct"/>
            <w:shd w:val="clear" w:color="auto" w:fill="5B9BD5" w:themeFill="accent1"/>
          </w:tcPr>
          <w:p w14:paraId="5F12D508" w14:textId="77777777" w:rsidR="00EF594C" w:rsidRPr="001019D8" w:rsidRDefault="00EF594C" w:rsidP="00776881">
            <w:pPr>
              <w:jc w:val="center"/>
              <w:rPr>
                <w:rFonts w:ascii="Verdana" w:hAnsi="Verdana"/>
                <w:color w:val="FFFFFF" w:themeColor="background1"/>
                <w:sz w:val="18"/>
                <w:szCs w:val="18"/>
              </w:rPr>
            </w:pPr>
            <w:r w:rsidRPr="001019D8">
              <w:rPr>
                <w:rFonts w:ascii="Verdana" w:hAnsi="Verdana"/>
                <w:color w:val="FFFFFF" w:themeColor="background1"/>
                <w:sz w:val="18"/>
                <w:szCs w:val="18"/>
              </w:rPr>
              <w:t>Indicador</w:t>
            </w:r>
          </w:p>
        </w:tc>
        <w:tc>
          <w:tcPr>
            <w:tcW w:w="803" w:type="pct"/>
            <w:shd w:val="clear" w:color="auto" w:fill="5B9BD5" w:themeFill="accent1"/>
          </w:tcPr>
          <w:p w14:paraId="70838785" w14:textId="77777777" w:rsidR="00EF594C" w:rsidRPr="001019D8" w:rsidRDefault="00EF594C" w:rsidP="00557142">
            <w:pPr>
              <w:jc w:val="center"/>
              <w:cnfStyle w:val="000000000000" w:firstRow="0" w:lastRow="0" w:firstColumn="0" w:lastColumn="0" w:oddVBand="0" w:evenVBand="0" w:oddHBand="0" w:evenHBand="0" w:firstRowFirstColumn="0" w:firstRowLastColumn="0" w:lastRowFirstColumn="0" w:lastRowLastColumn="0"/>
              <w:rPr>
                <w:rFonts w:ascii="Verdana" w:hAnsi="Verdana"/>
                <w:b/>
                <w:color w:val="FFFFFF" w:themeColor="background1"/>
                <w:sz w:val="18"/>
                <w:szCs w:val="18"/>
              </w:rPr>
            </w:pPr>
            <w:r w:rsidRPr="001019D8">
              <w:rPr>
                <w:rFonts w:ascii="Verdana" w:hAnsi="Verdana"/>
                <w:b/>
                <w:color w:val="FFFFFF" w:themeColor="background1"/>
                <w:sz w:val="18"/>
                <w:szCs w:val="18"/>
              </w:rPr>
              <w:t>Meta 201</w:t>
            </w:r>
            <w:r w:rsidR="00B16616" w:rsidRPr="001019D8">
              <w:rPr>
                <w:rFonts w:ascii="Verdana" w:hAnsi="Verdana"/>
                <w:b/>
                <w:color w:val="FFFFFF" w:themeColor="background1"/>
                <w:sz w:val="18"/>
                <w:szCs w:val="18"/>
              </w:rPr>
              <w:t>9</w:t>
            </w:r>
          </w:p>
        </w:tc>
        <w:tc>
          <w:tcPr>
            <w:tcW w:w="1390" w:type="pct"/>
            <w:shd w:val="clear" w:color="auto" w:fill="5B9BD5" w:themeFill="accent1"/>
          </w:tcPr>
          <w:p w14:paraId="00F2DD93" w14:textId="77777777" w:rsidR="00EF594C" w:rsidRPr="001019D8" w:rsidRDefault="0096609A" w:rsidP="00557142">
            <w:pPr>
              <w:jc w:val="center"/>
              <w:cnfStyle w:val="000000000000" w:firstRow="0" w:lastRow="0" w:firstColumn="0" w:lastColumn="0" w:oddVBand="0" w:evenVBand="0" w:oddHBand="0" w:evenHBand="0" w:firstRowFirstColumn="0" w:firstRowLastColumn="0" w:lastRowFirstColumn="0" w:lastRowLastColumn="0"/>
              <w:rPr>
                <w:rFonts w:ascii="Verdana" w:hAnsi="Verdana"/>
                <w:b/>
                <w:color w:val="FFFFFF" w:themeColor="background1"/>
                <w:sz w:val="18"/>
                <w:szCs w:val="18"/>
              </w:rPr>
            </w:pPr>
            <w:r w:rsidRPr="001019D8">
              <w:rPr>
                <w:rFonts w:ascii="Verdana" w:hAnsi="Verdana"/>
                <w:b/>
                <w:color w:val="FFFFFF" w:themeColor="background1"/>
                <w:sz w:val="18"/>
                <w:szCs w:val="18"/>
              </w:rPr>
              <w:t>Resultado al 31.12.19</w:t>
            </w:r>
          </w:p>
        </w:tc>
      </w:tr>
      <w:tr w:rsidR="00EF594C" w14:paraId="195B0A12" w14:textId="77777777" w:rsidTr="004711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pct"/>
          </w:tcPr>
          <w:p w14:paraId="0D7A1DD4" w14:textId="77777777" w:rsidR="00EF594C" w:rsidRPr="001019D8" w:rsidRDefault="00EF594C" w:rsidP="00776881">
            <w:pPr>
              <w:jc w:val="both"/>
              <w:rPr>
                <w:rFonts w:ascii="Verdana" w:hAnsi="Verdana"/>
                <w:sz w:val="18"/>
                <w:szCs w:val="18"/>
              </w:rPr>
            </w:pPr>
            <w:r w:rsidRPr="001019D8">
              <w:rPr>
                <w:rFonts w:ascii="Verdana" w:hAnsi="Verdana" w:cstheme="minorHAnsi"/>
                <w:sz w:val="20"/>
                <w:szCs w:val="20"/>
              </w:rPr>
              <w:t>Porcentaje de predios bovinos muestreados para la vigilancia de Brucelosis bovina en el año t respecto de lo programado en el año t.</w:t>
            </w:r>
          </w:p>
        </w:tc>
        <w:tc>
          <w:tcPr>
            <w:tcW w:w="803" w:type="pct"/>
            <w:vAlign w:val="center"/>
          </w:tcPr>
          <w:p w14:paraId="20D706D9" w14:textId="77777777" w:rsidR="00EF594C" w:rsidRPr="001019D8" w:rsidRDefault="00B16616" w:rsidP="00435923">
            <w:pPr>
              <w:jc w:val="cente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1019D8">
              <w:rPr>
                <w:rFonts w:ascii="Verdana" w:hAnsi="Verdana"/>
                <w:sz w:val="24"/>
                <w:szCs w:val="24"/>
              </w:rPr>
              <w:t>100</w:t>
            </w:r>
            <w:r w:rsidR="00EF594C" w:rsidRPr="001019D8">
              <w:rPr>
                <w:rFonts w:ascii="Verdana" w:hAnsi="Verdana"/>
                <w:sz w:val="24"/>
                <w:szCs w:val="24"/>
              </w:rPr>
              <w:t>%</w:t>
            </w:r>
          </w:p>
        </w:tc>
        <w:tc>
          <w:tcPr>
            <w:tcW w:w="1390" w:type="pct"/>
            <w:vAlign w:val="center"/>
          </w:tcPr>
          <w:p w14:paraId="742E8314" w14:textId="77777777" w:rsidR="00BD4AAF" w:rsidRPr="001019D8" w:rsidRDefault="00900839" w:rsidP="00435923">
            <w:pPr>
              <w:jc w:val="cente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1019D8">
              <w:rPr>
                <w:rFonts w:ascii="Verdana" w:hAnsi="Verdana"/>
                <w:sz w:val="24"/>
                <w:szCs w:val="24"/>
              </w:rPr>
              <w:t>122</w:t>
            </w:r>
            <w:r w:rsidR="00B06ADE" w:rsidRPr="001019D8">
              <w:rPr>
                <w:rFonts w:ascii="Verdana" w:hAnsi="Verdana"/>
                <w:sz w:val="24"/>
                <w:szCs w:val="24"/>
              </w:rPr>
              <w:t>,</w:t>
            </w:r>
            <w:r w:rsidRPr="001019D8">
              <w:rPr>
                <w:rFonts w:ascii="Verdana" w:hAnsi="Verdana"/>
                <w:sz w:val="24"/>
                <w:szCs w:val="24"/>
              </w:rPr>
              <w:t>2</w:t>
            </w:r>
            <w:r w:rsidR="00BD4AAF" w:rsidRPr="001019D8">
              <w:rPr>
                <w:rFonts w:ascii="Verdana" w:hAnsi="Verdana"/>
                <w:sz w:val="24"/>
                <w:szCs w:val="24"/>
              </w:rPr>
              <w:t>%</w:t>
            </w:r>
          </w:p>
          <w:p w14:paraId="376784B6" w14:textId="77777777" w:rsidR="00EF594C" w:rsidRPr="001019D8" w:rsidRDefault="00BD4AAF" w:rsidP="00900839">
            <w:pPr>
              <w:jc w:val="center"/>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1019D8">
              <w:rPr>
                <w:rFonts w:ascii="Verdana" w:hAnsi="Verdana"/>
                <w:sz w:val="24"/>
                <w:szCs w:val="24"/>
              </w:rPr>
              <w:t>(</w:t>
            </w:r>
            <w:r w:rsidR="00900839" w:rsidRPr="001019D8">
              <w:rPr>
                <w:rFonts w:ascii="Verdana" w:hAnsi="Verdana"/>
                <w:sz w:val="24"/>
                <w:szCs w:val="24"/>
              </w:rPr>
              <w:t>363</w:t>
            </w:r>
            <w:r w:rsidRPr="001019D8">
              <w:rPr>
                <w:rFonts w:ascii="Verdana" w:hAnsi="Verdana"/>
                <w:sz w:val="24"/>
                <w:szCs w:val="24"/>
              </w:rPr>
              <w:t>/</w:t>
            </w:r>
            <w:r w:rsidR="00E640C4" w:rsidRPr="001019D8">
              <w:rPr>
                <w:rFonts w:ascii="Verdana" w:hAnsi="Verdana"/>
                <w:sz w:val="24"/>
                <w:szCs w:val="24"/>
              </w:rPr>
              <w:t>2</w:t>
            </w:r>
            <w:r w:rsidR="00F2227E" w:rsidRPr="001019D8">
              <w:rPr>
                <w:rFonts w:ascii="Verdana" w:hAnsi="Verdana"/>
                <w:sz w:val="24"/>
                <w:szCs w:val="24"/>
              </w:rPr>
              <w:t>97</w:t>
            </w:r>
            <w:r w:rsidRPr="001019D8">
              <w:rPr>
                <w:rFonts w:ascii="Verdana" w:hAnsi="Verdana"/>
                <w:sz w:val="24"/>
                <w:szCs w:val="24"/>
              </w:rPr>
              <w:t>)</w:t>
            </w:r>
          </w:p>
        </w:tc>
      </w:tr>
      <w:tr w:rsidR="00EF594C" w14:paraId="35D3E4CE" w14:textId="77777777" w:rsidTr="00776881">
        <w:tc>
          <w:tcPr>
            <w:cnfStyle w:val="001000000000" w:firstRow="0" w:lastRow="0" w:firstColumn="1" w:lastColumn="0" w:oddVBand="0" w:evenVBand="0" w:oddHBand="0" w:evenHBand="0" w:firstRowFirstColumn="0" w:firstRowLastColumn="0" w:lastRowFirstColumn="0" w:lastRowLastColumn="0"/>
            <w:tcW w:w="5000" w:type="pct"/>
            <w:gridSpan w:val="3"/>
          </w:tcPr>
          <w:p w14:paraId="549E00BF" w14:textId="77777777" w:rsidR="00EF594C" w:rsidRPr="002403D3" w:rsidRDefault="0096609A" w:rsidP="00776881">
            <w:pPr>
              <w:spacing w:before="120"/>
              <w:jc w:val="both"/>
              <w:rPr>
                <w:rFonts w:ascii="Verdana" w:hAnsi="Verdana"/>
                <w:sz w:val="18"/>
                <w:szCs w:val="18"/>
              </w:rPr>
            </w:pPr>
            <w:r>
              <w:rPr>
                <w:rFonts w:ascii="Verdana" w:hAnsi="Verdana"/>
                <w:sz w:val="18"/>
                <w:szCs w:val="18"/>
              </w:rPr>
              <w:t>Descripción del Resultado:</w:t>
            </w:r>
          </w:p>
          <w:p w14:paraId="4C8F7FAB" w14:textId="749BE73E" w:rsidR="005416E3" w:rsidRDefault="005416E3" w:rsidP="005416E3">
            <w:pPr>
              <w:jc w:val="both"/>
              <w:rPr>
                <w:rFonts w:ascii="Verdana" w:hAnsi="Verdana"/>
                <w:b w:val="0"/>
                <w:sz w:val="18"/>
                <w:szCs w:val="18"/>
              </w:rPr>
            </w:pPr>
            <w:r w:rsidRPr="00BE4472">
              <w:rPr>
                <w:rFonts w:ascii="Verdana" w:hAnsi="Verdana"/>
                <w:b w:val="0"/>
                <w:sz w:val="18"/>
                <w:szCs w:val="18"/>
              </w:rPr>
              <w:t xml:space="preserve">La Brucelosis Bovina (BB) es una enfermedad infectocontagiosa, producida por la </w:t>
            </w:r>
            <w:r w:rsidR="00C7251C">
              <w:rPr>
                <w:rFonts w:ascii="Verdana" w:hAnsi="Verdana"/>
                <w:b w:val="0"/>
                <w:sz w:val="18"/>
                <w:szCs w:val="18"/>
              </w:rPr>
              <w:t>bacteria</w:t>
            </w:r>
            <w:r w:rsidR="00C7251C" w:rsidRPr="00BE4472">
              <w:rPr>
                <w:rFonts w:ascii="Verdana" w:hAnsi="Verdana"/>
                <w:b w:val="0"/>
                <w:sz w:val="18"/>
                <w:szCs w:val="18"/>
              </w:rPr>
              <w:t xml:space="preserve"> </w:t>
            </w:r>
            <w:proofErr w:type="spellStart"/>
            <w:r w:rsidRPr="00BE4472">
              <w:rPr>
                <w:rFonts w:ascii="Verdana" w:hAnsi="Verdana"/>
                <w:b w:val="0"/>
                <w:i/>
                <w:sz w:val="18"/>
                <w:szCs w:val="18"/>
              </w:rPr>
              <w:t>Brucella</w:t>
            </w:r>
            <w:proofErr w:type="spellEnd"/>
            <w:r w:rsidRPr="00BE4472">
              <w:rPr>
                <w:rFonts w:ascii="Verdana" w:hAnsi="Verdana"/>
                <w:b w:val="0"/>
                <w:i/>
                <w:sz w:val="18"/>
                <w:szCs w:val="18"/>
              </w:rPr>
              <w:t xml:space="preserve"> </w:t>
            </w:r>
            <w:proofErr w:type="spellStart"/>
            <w:r w:rsidRPr="00BE4472">
              <w:rPr>
                <w:rFonts w:ascii="Verdana" w:hAnsi="Verdana"/>
                <w:b w:val="0"/>
                <w:i/>
                <w:sz w:val="18"/>
                <w:szCs w:val="18"/>
              </w:rPr>
              <w:t>abortus</w:t>
            </w:r>
            <w:proofErr w:type="spellEnd"/>
            <w:r w:rsidRPr="00BE4472">
              <w:rPr>
                <w:rFonts w:ascii="Verdana" w:hAnsi="Verdana"/>
                <w:b w:val="0"/>
                <w:i/>
                <w:sz w:val="18"/>
                <w:szCs w:val="18"/>
              </w:rPr>
              <w:t>,</w:t>
            </w:r>
            <w:r w:rsidRPr="00BE4472">
              <w:rPr>
                <w:rFonts w:ascii="Verdana" w:hAnsi="Verdana"/>
                <w:b w:val="0"/>
                <w:sz w:val="18"/>
                <w:szCs w:val="18"/>
              </w:rPr>
              <w:t xml:space="preserve"> que afecta principalmente a las hembras bovinas en edad reproductiva, provocando abortos. Los machos enteros también pueden infectarse y en ellos la enfermedad se manifiesta con pérdida de la fertilidad debido a la orquitis y epididimitis. Esta patología, además es una zoonosis (se transmite al ser humano) y causa una enfermedad invalidante si no es tratada.</w:t>
            </w:r>
          </w:p>
          <w:p w14:paraId="3821AC9F" w14:textId="77777777" w:rsidR="005416E3" w:rsidRDefault="005416E3" w:rsidP="005416E3">
            <w:pPr>
              <w:jc w:val="both"/>
              <w:rPr>
                <w:rFonts w:ascii="Verdana" w:hAnsi="Verdana"/>
                <w:b w:val="0"/>
                <w:sz w:val="18"/>
                <w:szCs w:val="18"/>
              </w:rPr>
            </w:pPr>
          </w:p>
          <w:p w14:paraId="7EE82002" w14:textId="77777777" w:rsidR="005416E3" w:rsidRPr="00BE4472" w:rsidRDefault="005416E3" w:rsidP="005416E3">
            <w:pPr>
              <w:jc w:val="both"/>
              <w:rPr>
                <w:rFonts w:ascii="Verdana" w:hAnsi="Verdana"/>
                <w:b w:val="0"/>
                <w:sz w:val="18"/>
                <w:szCs w:val="18"/>
              </w:rPr>
            </w:pPr>
            <w:r w:rsidRPr="00BE4472">
              <w:rPr>
                <w:rFonts w:ascii="Verdana" w:hAnsi="Verdana"/>
                <w:b w:val="0"/>
                <w:sz w:val="18"/>
                <w:szCs w:val="18"/>
              </w:rPr>
              <w:t xml:space="preserve">Dentro del marco del Programa de Erradicación de Brucelosis Bovina a nivel nacional, y como parte de la estrategia en las últimas etapas de la erradicación, se utilizó la zonificación como herramienta sanitaria para avanzar en territorio libre. En este sentido, se elaboró un plan de acción para declarar libre a la </w:t>
            </w:r>
            <w:proofErr w:type="spellStart"/>
            <w:r w:rsidRPr="00BE4472">
              <w:rPr>
                <w:rFonts w:ascii="Verdana" w:hAnsi="Verdana"/>
                <w:b w:val="0"/>
                <w:sz w:val="18"/>
                <w:szCs w:val="18"/>
              </w:rPr>
              <w:t>Macrozona</w:t>
            </w:r>
            <w:proofErr w:type="spellEnd"/>
            <w:r w:rsidRPr="00BE4472">
              <w:rPr>
                <w:rFonts w:ascii="Verdana" w:hAnsi="Verdana"/>
                <w:b w:val="0"/>
                <w:sz w:val="18"/>
                <w:szCs w:val="18"/>
              </w:rPr>
              <w:t xml:space="preserve"> Norte (MZN) caracterizada por no presentar casos de Brucelosis bovina. </w:t>
            </w:r>
            <w:r>
              <w:rPr>
                <w:rFonts w:ascii="Verdana" w:hAnsi="Verdana"/>
                <w:b w:val="0"/>
                <w:sz w:val="18"/>
                <w:szCs w:val="18"/>
              </w:rPr>
              <w:t>Para lograr esta acción l</w:t>
            </w:r>
            <w:r w:rsidRPr="00BE4472">
              <w:rPr>
                <w:rFonts w:ascii="Verdana" w:hAnsi="Verdana"/>
                <w:b w:val="0"/>
                <w:sz w:val="18"/>
                <w:szCs w:val="18"/>
              </w:rPr>
              <w:t xml:space="preserve">a </w:t>
            </w:r>
            <w:proofErr w:type="spellStart"/>
            <w:r w:rsidRPr="00BE4472">
              <w:rPr>
                <w:rFonts w:ascii="Verdana" w:hAnsi="Verdana"/>
                <w:b w:val="0"/>
                <w:sz w:val="18"/>
                <w:szCs w:val="18"/>
              </w:rPr>
              <w:t>macrozona</w:t>
            </w:r>
            <w:proofErr w:type="spellEnd"/>
            <w:r w:rsidRPr="00BE4472">
              <w:rPr>
                <w:rFonts w:ascii="Verdana" w:hAnsi="Verdana"/>
                <w:b w:val="0"/>
                <w:sz w:val="18"/>
                <w:szCs w:val="18"/>
              </w:rPr>
              <w:t xml:space="preserve"> norte </w:t>
            </w:r>
            <w:r>
              <w:rPr>
                <w:rFonts w:ascii="Verdana" w:hAnsi="Verdana"/>
                <w:b w:val="0"/>
                <w:sz w:val="18"/>
                <w:szCs w:val="18"/>
              </w:rPr>
              <w:t xml:space="preserve">que </w:t>
            </w:r>
            <w:r w:rsidRPr="00BE4472">
              <w:rPr>
                <w:rFonts w:ascii="Verdana" w:hAnsi="Verdana"/>
                <w:b w:val="0"/>
                <w:sz w:val="18"/>
                <w:szCs w:val="18"/>
              </w:rPr>
              <w:t>abarca las regiones desde Arica y Parinacota hasta Coquimbo</w:t>
            </w:r>
            <w:r>
              <w:rPr>
                <w:rFonts w:ascii="Verdana" w:hAnsi="Verdana"/>
                <w:b w:val="0"/>
                <w:sz w:val="18"/>
                <w:szCs w:val="18"/>
              </w:rPr>
              <w:t xml:space="preserve"> fue </w:t>
            </w:r>
            <w:r w:rsidRPr="00BE4472">
              <w:rPr>
                <w:rFonts w:ascii="Verdana" w:hAnsi="Verdana"/>
                <w:b w:val="0"/>
                <w:sz w:val="18"/>
                <w:szCs w:val="18"/>
              </w:rPr>
              <w:t xml:space="preserve">dividida en: </w:t>
            </w:r>
            <w:proofErr w:type="spellStart"/>
            <w:r w:rsidRPr="00BE4472">
              <w:rPr>
                <w:rFonts w:ascii="Verdana" w:hAnsi="Verdana"/>
                <w:b w:val="0"/>
                <w:sz w:val="18"/>
                <w:szCs w:val="18"/>
              </w:rPr>
              <w:t>Macrozona</w:t>
            </w:r>
            <w:proofErr w:type="spellEnd"/>
            <w:r w:rsidRPr="00BE4472">
              <w:rPr>
                <w:rFonts w:ascii="Verdana" w:hAnsi="Verdana"/>
                <w:b w:val="0"/>
                <w:sz w:val="18"/>
                <w:szCs w:val="18"/>
              </w:rPr>
              <w:t xml:space="preserve"> Norte 1 (MZN-1) que abarca las regiones de Arica y Parinacota, Tarapacá y Antofagasta y la </w:t>
            </w:r>
            <w:proofErr w:type="spellStart"/>
            <w:r w:rsidRPr="00BE4472">
              <w:rPr>
                <w:rFonts w:ascii="Verdana" w:hAnsi="Verdana"/>
                <w:b w:val="0"/>
                <w:sz w:val="18"/>
                <w:szCs w:val="18"/>
              </w:rPr>
              <w:t>Macrozona</w:t>
            </w:r>
            <w:proofErr w:type="spellEnd"/>
            <w:r w:rsidRPr="00BE4472">
              <w:rPr>
                <w:rFonts w:ascii="Verdana" w:hAnsi="Verdana"/>
                <w:b w:val="0"/>
                <w:sz w:val="18"/>
                <w:szCs w:val="18"/>
              </w:rPr>
              <w:t xml:space="preserve"> Norte 2 (MZN-2) que considera las regiones de Atacama y Coquimbo. Esta división se fundó principalmente por el hecho de que en la MZN-1 la</w:t>
            </w:r>
            <w:r w:rsidRPr="00BE4472">
              <w:rPr>
                <w:rFonts w:ascii="Verdana" w:hAnsi="Verdana"/>
                <w:sz w:val="18"/>
                <w:szCs w:val="18"/>
              </w:rPr>
              <w:t xml:space="preserve"> </w:t>
            </w:r>
            <w:r w:rsidRPr="00BE4472">
              <w:rPr>
                <w:rFonts w:ascii="Verdana" w:hAnsi="Verdana"/>
                <w:b w:val="0"/>
                <w:sz w:val="18"/>
                <w:szCs w:val="18"/>
              </w:rPr>
              <w:t>enfermedad nunca se ha presentado, a diferencia de la MZN-2, donde sí han existido pocos casos en el pasado, y cuyo origen estuvo en otras regiones del país.</w:t>
            </w:r>
          </w:p>
          <w:p w14:paraId="2A20DB2C" w14:textId="77777777" w:rsidR="005416E3" w:rsidRPr="00CB18E1" w:rsidRDefault="005416E3" w:rsidP="005416E3">
            <w:pPr>
              <w:jc w:val="both"/>
              <w:rPr>
                <w:rFonts w:ascii="Verdana" w:hAnsi="Verdana"/>
                <w:b w:val="0"/>
                <w:sz w:val="18"/>
                <w:szCs w:val="18"/>
              </w:rPr>
            </w:pPr>
          </w:p>
          <w:p w14:paraId="4984F6EF" w14:textId="77777777" w:rsidR="005416E3" w:rsidRPr="00CB18E1" w:rsidRDefault="005416E3" w:rsidP="005416E3">
            <w:pPr>
              <w:jc w:val="both"/>
              <w:rPr>
                <w:rFonts w:ascii="Verdana" w:hAnsi="Verdana"/>
                <w:b w:val="0"/>
                <w:sz w:val="18"/>
                <w:szCs w:val="18"/>
              </w:rPr>
            </w:pPr>
            <w:r w:rsidRPr="00CB18E1">
              <w:rPr>
                <w:rFonts w:ascii="Verdana" w:hAnsi="Verdana"/>
                <w:b w:val="0"/>
                <w:sz w:val="18"/>
                <w:szCs w:val="18"/>
              </w:rPr>
              <w:t xml:space="preserve">El universo de predios en la </w:t>
            </w:r>
            <w:proofErr w:type="spellStart"/>
            <w:r w:rsidRPr="00CB18E1">
              <w:rPr>
                <w:rFonts w:ascii="Verdana" w:hAnsi="Verdana"/>
                <w:b w:val="0"/>
                <w:sz w:val="18"/>
                <w:szCs w:val="18"/>
              </w:rPr>
              <w:t>Macrozona</w:t>
            </w:r>
            <w:proofErr w:type="spellEnd"/>
            <w:r w:rsidRPr="00CB18E1">
              <w:rPr>
                <w:rFonts w:ascii="Verdana" w:hAnsi="Verdana"/>
                <w:b w:val="0"/>
                <w:sz w:val="18"/>
                <w:szCs w:val="18"/>
              </w:rPr>
              <w:t xml:space="preserve"> Norte es movible, por la baja presencia bovina pueden existir predios que sólo tengan un par de animales o sólo uno. </w:t>
            </w:r>
            <w:r w:rsidRPr="00BE4472">
              <w:rPr>
                <w:rFonts w:ascii="Verdana" w:hAnsi="Verdana"/>
                <w:b w:val="0"/>
                <w:sz w:val="18"/>
                <w:szCs w:val="18"/>
              </w:rPr>
              <w:t>Finalizado el periodo 201</w:t>
            </w:r>
            <w:r>
              <w:rPr>
                <w:rFonts w:ascii="Verdana" w:hAnsi="Verdana"/>
                <w:b w:val="0"/>
                <w:sz w:val="18"/>
                <w:szCs w:val="18"/>
              </w:rPr>
              <w:t>9</w:t>
            </w:r>
            <w:r w:rsidRPr="00BE4472">
              <w:rPr>
                <w:rFonts w:ascii="Verdana" w:hAnsi="Verdana"/>
                <w:b w:val="0"/>
                <w:sz w:val="18"/>
                <w:szCs w:val="18"/>
              </w:rPr>
              <w:t>, se ha obtenido un resultado de 12</w:t>
            </w:r>
            <w:r>
              <w:rPr>
                <w:rFonts w:ascii="Verdana" w:hAnsi="Verdana"/>
                <w:b w:val="0"/>
                <w:sz w:val="18"/>
                <w:szCs w:val="18"/>
              </w:rPr>
              <w:t>2</w:t>
            </w:r>
            <w:r w:rsidRPr="00BE4472">
              <w:rPr>
                <w:rFonts w:ascii="Verdana" w:hAnsi="Verdana"/>
                <w:b w:val="0"/>
                <w:sz w:val="18"/>
                <w:szCs w:val="18"/>
              </w:rPr>
              <w:t>,</w:t>
            </w:r>
            <w:r>
              <w:rPr>
                <w:rFonts w:ascii="Verdana" w:hAnsi="Verdana"/>
                <w:b w:val="0"/>
                <w:sz w:val="18"/>
                <w:szCs w:val="18"/>
              </w:rPr>
              <w:t>2</w:t>
            </w:r>
            <w:r w:rsidRPr="00BE4472">
              <w:rPr>
                <w:rFonts w:ascii="Verdana" w:hAnsi="Verdana"/>
                <w:b w:val="0"/>
                <w:sz w:val="18"/>
                <w:szCs w:val="18"/>
              </w:rPr>
              <w:t>% (3</w:t>
            </w:r>
            <w:r>
              <w:rPr>
                <w:rFonts w:ascii="Verdana" w:hAnsi="Verdana"/>
                <w:b w:val="0"/>
                <w:sz w:val="18"/>
                <w:szCs w:val="18"/>
              </w:rPr>
              <w:t>63</w:t>
            </w:r>
            <w:r w:rsidRPr="00BE4472">
              <w:rPr>
                <w:rFonts w:ascii="Verdana" w:hAnsi="Verdana"/>
                <w:b w:val="0"/>
                <w:sz w:val="18"/>
                <w:szCs w:val="18"/>
              </w:rPr>
              <w:t>/2</w:t>
            </w:r>
            <w:r>
              <w:rPr>
                <w:rFonts w:ascii="Verdana" w:hAnsi="Verdana"/>
                <w:b w:val="0"/>
                <w:sz w:val="18"/>
                <w:szCs w:val="18"/>
              </w:rPr>
              <w:t>97</w:t>
            </w:r>
            <w:r w:rsidRPr="00BE4472">
              <w:rPr>
                <w:rFonts w:ascii="Verdana" w:hAnsi="Verdana"/>
                <w:b w:val="0"/>
                <w:sz w:val="18"/>
                <w:szCs w:val="18"/>
              </w:rPr>
              <w:t>), siendo el detalle el siguiente</w:t>
            </w:r>
            <w:r>
              <w:rPr>
                <w:rFonts w:ascii="Verdana" w:hAnsi="Verdana"/>
                <w:b w:val="0"/>
                <w:sz w:val="18"/>
                <w:szCs w:val="18"/>
              </w:rPr>
              <w:t>:</w:t>
            </w:r>
          </w:p>
          <w:p w14:paraId="0D020166" w14:textId="77777777" w:rsidR="005416E3" w:rsidRPr="00CB18E1" w:rsidRDefault="005416E3" w:rsidP="005416E3">
            <w:pPr>
              <w:jc w:val="both"/>
              <w:rPr>
                <w:rFonts w:ascii="Verdana" w:hAnsi="Verdana"/>
                <w:b w:val="0"/>
                <w:sz w:val="18"/>
                <w:szCs w:val="18"/>
              </w:rPr>
            </w:pPr>
          </w:p>
          <w:tbl>
            <w:tblPr>
              <w:tblW w:w="8592" w:type="dxa"/>
              <w:tblCellMar>
                <w:left w:w="0" w:type="dxa"/>
                <w:right w:w="0" w:type="dxa"/>
              </w:tblCellMar>
              <w:tblLook w:val="04A0" w:firstRow="1" w:lastRow="0" w:firstColumn="1" w:lastColumn="0" w:noHBand="0" w:noVBand="1"/>
            </w:tblPr>
            <w:tblGrid>
              <w:gridCol w:w="1862"/>
              <w:gridCol w:w="2126"/>
              <w:gridCol w:w="2410"/>
              <w:gridCol w:w="2194"/>
            </w:tblGrid>
            <w:tr w:rsidR="005416E3" w:rsidRPr="0059613C" w14:paraId="05677877" w14:textId="77777777" w:rsidTr="0059613C">
              <w:trPr>
                <w:trHeight w:val="300"/>
              </w:trPr>
              <w:tc>
                <w:tcPr>
                  <w:tcW w:w="1862" w:type="dxa"/>
                  <w:tcBorders>
                    <w:top w:val="single" w:sz="8" w:space="0" w:color="auto"/>
                    <w:left w:val="single" w:sz="8" w:space="0" w:color="auto"/>
                    <w:bottom w:val="single" w:sz="8" w:space="0" w:color="auto"/>
                    <w:right w:val="single" w:sz="8" w:space="0" w:color="auto"/>
                  </w:tcBorders>
                  <w:shd w:val="clear" w:color="auto" w:fill="DEEAF6" w:themeFill="accent1" w:themeFillTint="33"/>
                  <w:noWrap/>
                  <w:tcMar>
                    <w:top w:w="0" w:type="dxa"/>
                    <w:left w:w="70" w:type="dxa"/>
                    <w:bottom w:w="0" w:type="dxa"/>
                    <w:right w:w="70" w:type="dxa"/>
                  </w:tcMar>
                  <w:vAlign w:val="center"/>
                  <w:hideMark/>
                </w:tcPr>
                <w:p w14:paraId="20FC5FFA" w14:textId="77777777" w:rsidR="005416E3" w:rsidRPr="0059613C" w:rsidRDefault="005416E3" w:rsidP="005416E3">
                  <w:pPr>
                    <w:spacing w:after="0"/>
                    <w:jc w:val="center"/>
                    <w:rPr>
                      <w:rFonts w:ascii="Verdana" w:hAnsi="Verdana"/>
                      <w:sz w:val="18"/>
                      <w:szCs w:val="18"/>
                    </w:rPr>
                  </w:pPr>
                  <w:r w:rsidRPr="0059613C">
                    <w:rPr>
                      <w:rFonts w:ascii="Verdana" w:hAnsi="Verdana"/>
                      <w:b/>
                      <w:bCs/>
                      <w:sz w:val="18"/>
                      <w:szCs w:val="18"/>
                      <w:lang w:eastAsia="es-CL"/>
                    </w:rPr>
                    <w:t>Región</w:t>
                  </w:r>
                </w:p>
              </w:tc>
              <w:tc>
                <w:tcPr>
                  <w:tcW w:w="2126" w:type="dxa"/>
                  <w:tcBorders>
                    <w:top w:val="single" w:sz="8" w:space="0" w:color="auto"/>
                    <w:left w:val="nil"/>
                    <w:bottom w:val="single" w:sz="8" w:space="0" w:color="auto"/>
                    <w:right w:val="single" w:sz="8" w:space="0" w:color="auto"/>
                  </w:tcBorders>
                  <w:shd w:val="clear" w:color="auto" w:fill="DEEAF6" w:themeFill="accent1" w:themeFillTint="33"/>
                  <w:noWrap/>
                  <w:tcMar>
                    <w:top w:w="0" w:type="dxa"/>
                    <w:left w:w="70" w:type="dxa"/>
                    <w:bottom w:w="0" w:type="dxa"/>
                    <w:right w:w="70" w:type="dxa"/>
                  </w:tcMar>
                  <w:vAlign w:val="center"/>
                  <w:hideMark/>
                </w:tcPr>
                <w:p w14:paraId="0CFABCF6" w14:textId="77777777" w:rsidR="005416E3" w:rsidRPr="0059613C" w:rsidRDefault="005416E3" w:rsidP="005416E3">
                  <w:pPr>
                    <w:spacing w:after="0"/>
                    <w:jc w:val="center"/>
                    <w:rPr>
                      <w:rFonts w:ascii="Verdana" w:hAnsi="Verdana"/>
                      <w:sz w:val="18"/>
                      <w:szCs w:val="18"/>
                    </w:rPr>
                  </w:pPr>
                  <w:r w:rsidRPr="0059613C">
                    <w:rPr>
                      <w:rFonts w:ascii="Verdana" w:hAnsi="Verdana"/>
                      <w:b/>
                      <w:bCs/>
                      <w:sz w:val="18"/>
                      <w:szCs w:val="18"/>
                      <w:lang w:eastAsia="es-CL"/>
                    </w:rPr>
                    <w:t>N° Predios Bovinos Programados</w:t>
                  </w:r>
                </w:p>
              </w:tc>
              <w:tc>
                <w:tcPr>
                  <w:tcW w:w="2410" w:type="dxa"/>
                  <w:tcBorders>
                    <w:top w:val="single" w:sz="8" w:space="0" w:color="auto"/>
                    <w:left w:val="nil"/>
                    <w:bottom w:val="single" w:sz="8" w:space="0" w:color="auto"/>
                    <w:right w:val="single" w:sz="8" w:space="0" w:color="auto"/>
                  </w:tcBorders>
                  <w:shd w:val="clear" w:color="auto" w:fill="DEEAF6" w:themeFill="accent1" w:themeFillTint="33"/>
                  <w:noWrap/>
                  <w:tcMar>
                    <w:top w:w="0" w:type="dxa"/>
                    <w:left w:w="70" w:type="dxa"/>
                    <w:bottom w:w="0" w:type="dxa"/>
                    <w:right w:w="70" w:type="dxa"/>
                  </w:tcMar>
                  <w:vAlign w:val="center"/>
                  <w:hideMark/>
                </w:tcPr>
                <w:p w14:paraId="0A2FD341" w14:textId="77777777" w:rsidR="005416E3" w:rsidRPr="0059613C" w:rsidRDefault="005416E3" w:rsidP="005416E3">
                  <w:pPr>
                    <w:spacing w:after="0"/>
                    <w:jc w:val="center"/>
                    <w:rPr>
                      <w:rFonts w:ascii="Verdana" w:hAnsi="Verdana"/>
                      <w:sz w:val="18"/>
                      <w:szCs w:val="18"/>
                    </w:rPr>
                  </w:pPr>
                  <w:r w:rsidRPr="0059613C">
                    <w:rPr>
                      <w:rFonts w:ascii="Verdana" w:hAnsi="Verdana"/>
                      <w:b/>
                      <w:bCs/>
                      <w:sz w:val="18"/>
                      <w:szCs w:val="18"/>
                      <w:lang w:eastAsia="es-CL"/>
                    </w:rPr>
                    <w:t>N° Predios Bovinos Muestreados</w:t>
                  </w:r>
                </w:p>
              </w:tc>
              <w:tc>
                <w:tcPr>
                  <w:tcW w:w="2194"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67C82CB1" w14:textId="77777777" w:rsidR="005416E3" w:rsidRPr="0059613C" w:rsidRDefault="005416E3" w:rsidP="005416E3">
                  <w:pPr>
                    <w:spacing w:after="0"/>
                    <w:jc w:val="center"/>
                    <w:rPr>
                      <w:rFonts w:ascii="Verdana" w:hAnsi="Verdana"/>
                      <w:b/>
                      <w:bCs/>
                      <w:sz w:val="18"/>
                      <w:szCs w:val="18"/>
                      <w:lang w:eastAsia="es-CL"/>
                    </w:rPr>
                  </w:pPr>
                  <w:r w:rsidRPr="0059613C">
                    <w:rPr>
                      <w:rFonts w:ascii="Verdana" w:hAnsi="Verdana"/>
                      <w:b/>
                      <w:bCs/>
                      <w:sz w:val="18"/>
                      <w:szCs w:val="18"/>
                      <w:lang w:eastAsia="es-CL"/>
                    </w:rPr>
                    <w:t>% Cumplimiento Programa</w:t>
                  </w:r>
                </w:p>
              </w:tc>
            </w:tr>
            <w:tr w:rsidR="005416E3" w:rsidRPr="0059613C" w14:paraId="5F73E6DB" w14:textId="77777777" w:rsidTr="0059613C">
              <w:trPr>
                <w:trHeight w:val="60"/>
              </w:trPr>
              <w:tc>
                <w:tcPr>
                  <w:tcW w:w="186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D8531DD" w14:textId="77777777" w:rsidR="005416E3" w:rsidRPr="0059613C" w:rsidRDefault="005416E3" w:rsidP="0059613C">
                  <w:pPr>
                    <w:spacing w:after="0"/>
                    <w:rPr>
                      <w:rFonts w:ascii="Verdana" w:hAnsi="Verdana"/>
                      <w:sz w:val="18"/>
                      <w:szCs w:val="18"/>
                    </w:rPr>
                  </w:pPr>
                  <w:r w:rsidRPr="0059613C">
                    <w:rPr>
                      <w:rFonts w:ascii="Verdana" w:hAnsi="Verdana"/>
                      <w:sz w:val="18"/>
                      <w:szCs w:val="18"/>
                      <w:lang w:eastAsia="es-CL"/>
                    </w:rPr>
                    <w:t>Arica y Parinacota</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9D6D3D0" w14:textId="77777777" w:rsidR="005416E3" w:rsidRPr="0059613C" w:rsidRDefault="005416E3" w:rsidP="0059613C">
                  <w:pPr>
                    <w:spacing w:after="0"/>
                    <w:jc w:val="center"/>
                    <w:rPr>
                      <w:rFonts w:ascii="Verdana" w:hAnsi="Verdana"/>
                      <w:sz w:val="18"/>
                      <w:szCs w:val="18"/>
                    </w:rPr>
                  </w:pPr>
                  <w:r w:rsidRPr="0059613C">
                    <w:rPr>
                      <w:rFonts w:ascii="Verdana" w:hAnsi="Verdana"/>
                      <w:sz w:val="18"/>
                      <w:szCs w:val="18"/>
                      <w:lang w:eastAsia="es-CL"/>
                    </w:rPr>
                    <w:t>40</w:t>
                  </w:r>
                </w:p>
              </w:tc>
              <w:tc>
                <w:tcPr>
                  <w:tcW w:w="241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1889506" w14:textId="77777777" w:rsidR="005416E3" w:rsidRPr="0059613C" w:rsidRDefault="005416E3" w:rsidP="0059613C">
                  <w:pPr>
                    <w:spacing w:after="0"/>
                    <w:jc w:val="center"/>
                    <w:rPr>
                      <w:rFonts w:ascii="Verdana" w:hAnsi="Verdana"/>
                      <w:sz w:val="18"/>
                      <w:szCs w:val="18"/>
                    </w:rPr>
                  </w:pPr>
                  <w:r w:rsidRPr="0059613C">
                    <w:rPr>
                      <w:rFonts w:ascii="Verdana" w:hAnsi="Verdana"/>
                      <w:sz w:val="18"/>
                      <w:szCs w:val="18"/>
                      <w:lang w:eastAsia="es-CL"/>
                    </w:rPr>
                    <w:t>40</w:t>
                  </w:r>
                </w:p>
              </w:tc>
              <w:tc>
                <w:tcPr>
                  <w:tcW w:w="2194" w:type="dxa"/>
                  <w:tcBorders>
                    <w:top w:val="nil"/>
                    <w:left w:val="nil"/>
                    <w:bottom w:val="single" w:sz="8" w:space="0" w:color="auto"/>
                    <w:right w:val="single" w:sz="8" w:space="0" w:color="auto"/>
                  </w:tcBorders>
                  <w:vAlign w:val="center"/>
                </w:tcPr>
                <w:p w14:paraId="5FC9E570" w14:textId="77777777" w:rsidR="005416E3" w:rsidRPr="0059613C" w:rsidRDefault="005416E3" w:rsidP="0059613C">
                  <w:pPr>
                    <w:spacing w:after="0"/>
                    <w:jc w:val="center"/>
                    <w:rPr>
                      <w:rFonts w:ascii="Verdana" w:hAnsi="Verdana"/>
                      <w:sz w:val="18"/>
                      <w:szCs w:val="18"/>
                      <w:lang w:eastAsia="es-CL"/>
                    </w:rPr>
                  </w:pPr>
                  <w:r w:rsidRPr="0059613C">
                    <w:rPr>
                      <w:rFonts w:ascii="Verdana" w:hAnsi="Verdana"/>
                      <w:sz w:val="18"/>
                      <w:szCs w:val="18"/>
                      <w:lang w:eastAsia="es-CL"/>
                    </w:rPr>
                    <w:t>100,0%</w:t>
                  </w:r>
                </w:p>
              </w:tc>
            </w:tr>
            <w:tr w:rsidR="005416E3" w:rsidRPr="0059613C" w14:paraId="3D05C4BD" w14:textId="77777777" w:rsidTr="0059613C">
              <w:trPr>
                <w:trHeight w:val="151"/>
              </w:trPr>
              <w:tc>
                <w:tcPr>
                  <w:tcW w:w="186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C6C5258" w14:textId="77777777" w:rsidR="005416E3" w:rsidRPr="0059613C" w:rsidRDefault="005416E3" w:rsidP="0059613C">
                  <w:pPr>
                    <w:spacing w:after="0"/>
                    <w:rPr>
                      <w:rFonts w:ascii="Verdana" w:hAnsi="Verdana"/>
                      <w:sz w:val="18"/>
                      <w:szCs w:val="18"/>
                    </w:rPr>
                  </w:pPr>
                  <w:r w:rsidRPr="0059613C">
                    <w:rPr>
                      <w:rFonts w:ascii="Verdana" w:hAnsi="Verdana"/>
                      <w:sz w:val="18"/>
                      <w:szCs w:val="18"/>
                      <w:lang w:eastAsia="es-CL"/>
                    </w:rPr>
                    <w:t>Tarapacá</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2A004A9" w14:textId="77777777" w:rsidR="005416E3" w:rsidRPr="0059613C" w:rsidRDefault="005416E3" w:rsidP="0059613C">
                  <w:pPr>
                    <w:spacing w:after="0"/>
                    <w:jc w:val="center"/>
                    <w:rPr>
                      <w:rFonts w:ascii="Verdana" w:hAnsi="Verdana"/>
                      <w:sz w:val="18"/>
                      <w:szCs w:val="18"/>
                    </w:rPr>
                  </w:pPr>
                  <w:r w:rsidRPr="0059613C">
                    <w:rPr>
                      <w:rFonts w:ascii="Verdana" w:hAnsi="Verdana"/>
                      <w:sz w:val="18"/>
                      <w:szCs w:val="18"/>
                      <w:lang w:eastAsia="es-CL"/>
                    </w:rPr>
                    <w:t>18</w:t>
                  </w:r>
                </w:p>
              </w:tc>
              <w:tc>
                <w:tcPr>
                  <w:tcW w:w="241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FDFA9A0" w14:textId="77777777" w:rsidR="005416E3" w:rsidRPr="0059613C" w:rsidRDefault="005416E3" w:rsidP="0059613C">
                  <w:pPr>
                    <w:spacing w:after="0"/>
                    <w:jc w:val="center"/>
                    <w:rPr>
                      <w:rFonts w:ascii="Verdana" w:hAnsi="Verdana"/>
                      <w:sz w:val="18"/>
                      <w:szCs w:val="18"/>
                    </w:rPr>
                  </w:pPr>
                  <w:r w:rsidRPr="0059613C">
                    <w:rPr>
                      <w:rFonts w:ascii="Verdana" w:hAnsi="Verdana"/>
                      <w:sz w:val="18"/>
                      <w:szCs w:val="18"/>
                      <w:lang w:eastAsia="es-CL"/>
                    </w:rPr>
                    <w:t>18</w:t>
                  </w:r>
                </w:p>
              </w:tc>
              <w:tc>
                <w:tcPr>
                  <w:tcW w:w="2194" w:type="dxa"/>
                  <w:tcBorders>
                    <w:top w:val="nil"/>
                    <w:left w:val="nil"/>
                    <w:bottom w:val="single" w:sz="8" w:space="0" w:color="auto"/>
                    <w:right w:val="single" w:sz="8" w:space="0" w:color="auto"/>
                  </w:tcBorders>
                  <w:vAlign w:val="center"/>
                </w:tcPr>
                <w:p w14:paraId="327B3DFC" w14:textId="77777777" w:rsidR="005416E3" w:rsidRPr="0059613C" w:rsidRDefault="005416E3" w:rsidP="0059613C">
                  <w:pPr>
                    <w:spacing w:after="0"/>
                    <w:jc w:val="center"/>
                    <w:rPr>
                      <w:rFonts w:ascii="Verdana" w:hAnsi="Verdana"/>
                      <w:sz w:val="18"/>
                      <w:szCs w:val="18"/>
                      <w:lang w:eastAsia="es-CL"/>
                    </w:rPr>
                  </w:pPr>
                  <w:r w:rsidRPr="0059613C">
                    <w:rPr>
                      <w:rFonts w:ascii="Verdana" w:hAnsi="Verdana"/>
                      <w:sz w:val="18"/>
                      <w:szCs w:val="18"/>
                      <w:lang w:eastAsia="es-CL"/>
                    </w:rPr>
                    <w:t>100,0%</w:t>
                  </w:r>
                </w:p>
              </w:tc>
            </w:tr>
            <w:tr w:rsidR="005416E3" w:rsidRPr="0059613C" w14:paraId="5AEB5275" w14:textId="77777777" w:rsidTr="0059613C">
              <w:trPr>
                <w:trHeight w:val="126"/>
              </w:trPr>
              <w:tc>
                <w:tcPr>
                  <w:tcW w:w="186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159587C" w14:textId="77777777" w:rsidR="005416E3" w:rsidRPr="0059613C" w:rsidRDefault="005416E3" w:rsidP="0059613C">
                  <w:pPr>
                    <w:spacing w:after="0"/>
                    <w:rPr>
                      <w:rFonts w:ascii="Verdana" w:hAnsi="Verdana"/>
                      <w:sz w:val="18"/>
                      <w:szCs w:val="18"/>
                    </w:rPr>
                  </w:pPr>
                  <w:r w:rsidRPr="0059613C">
                    <w:rPr>
                      <w:rFonts w:ascii="Verdana" w:hAnsi="Verdana"/>
                      <w:sz w:val="18"/>
                      <w:szCs w:val="18"/>
                      <w:lang w:eastAsia="es-CL"/>
                    </w:rPr>
                    <w:t>Antofagasta</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A44E02" w14:textId="77777777" w:rsidR="005416E3" w:rsidRPr="0059613C" w:rsidRDefault="005416E3" w:rsidP="0059613C">
                  <w:pPr>
                    <w:spacing w:after="0"/>
                    <w:jc w:val="center"/>
                    <w:rPr>
                      <w:rFonts w:ascii="Verdana" w:hAnsi="Verdana"/>
                      <w:sz w:val="18"/>
                      <w:szCs w:val="18"/>
                    </w:rPr>
                  </w:pPr>
                  <w:r w:rsidRPr="0059613C">
                    <w:rPr>
                      <w:rFonts w:ascii="Verdana" w:hAnsi="Verdana"/>
                      <w:sz w:val="18"/>
                      <w:szCs w:val="18"/>
                      <w:lang w:eastAsia="es-CL"/>
                    </w:rPr>
                    <w:t>22</w:t>
                  </w:r>
                </w:p>
              </w:tc>
              <w:tc>
                <w:tcPr>
                  <w:tcW w:w="241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9518F12" w14:textId="77777777" w:rsidR="005416E3" w:rsidRPr="0059613C" w:rsidRDefault="005416E3" w:rsidP="0059613C">
                  <w:pPr>
                    <w:spacing w:after="0"/>
                    <w:jc w:val="center"/>
                    <w:rPr>
                      <w:rFonts w:ascii="Verdana" w:hAnsi="Verdana"/>
                      <w:sz w:val="18"/>
                      <w:szCs w:val="18"/>
                    </w:rPr>
                  </w:pPr>
                  <w:r w:rsidRPr="0059613C">
                    <w:rPr>
                      <w:rFonts w:ascii="Verdana" w:hAnsi="Verdana"/>
                      <w:sz w:val="18"/>
                      <w:szCs w:val="18"/>
                      <w:lang w:eastAsia="es-CL"/>
                    </w:rPr>
                    <w:t>25</w:t>
                  </w:r>
                </w:p>
              </w:tc>
              <w:tc>
                <w:tcPr>
                  <w:tcW w:w="2194" w:type="dxa"/>
                  <w:tcBorders>
                    <w:top w:val="nil"/>
                    <w:left w:val="nil"/>
                    <w:bottom w:val="single" w:sz="8" w:space="0" w:color="auto"/>
                    <w:right w:val="single" w:sz="8" w:space="0" w:color="auto"/>
                  </w:tcBorders>
                  <w:vAlign w:val="center"/>
                </w:tcPr>
                <w:p w14:paraId="78EA988D" w14:textId="77777777" w:rsidR="005416E3" w:rsidRPr="0059613C" w:rsidRDefault="005416E3" w:rsidP="0059613C">
                  <w:pPr>
                    <w:spacing w:after="0"/>
                    <w:jc w:val="center"/>
                    <w:rPr>
                      <w:rFonts w:ascii="Verdana" w:hAnsi="Verdana"/>
                      <w:sz w:val="18"/>
                      <w:szCs w:val="18"/>
                      <w:lang w:eastAsia="es-CL"/>
                    </w:rPr>
                  </w:pPr>
                  <w:r w:rsidRPr="0059613C">
                    <w:rPr>
                      <w:rFonts w:ascii="Verdana" w:hAnsi="Verdana"/>
                      <w:sz w:val="18"/>
                      <w:szCs w:val="18"/>
                      <w:lang w:eastAsia="es-CL"/>
                    </w:rPr>
                    <w:t>113,6%</w:t>
                  </w:r>
                </w:p>
              </w:tc>
            </w:tr>
            <w:tr w:rsidR="005416E3" w:rsidRPr="0059613C" w14:paraId="141B2B5B" w14:textId="77777777" w:rsidTr="0059613C">
              <w:trPr>
                <w:trHeight w:val="60"/>
              </w:trPr>
              <w:tc>
                <w:tcPr>
                  <w:tcW w:w="186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0C72873" w14:textId="77777777" w:rsidR="005416E3" w:rsidRPr="0059613C" w:rsidRDefault="005416E3" w:rsidP="0059613C">
                  <w:pPr>
                    <w:spacing w:after="0"/>
                    <w:rPr>
                      <w:rFonts w:ascii="Verdana" w:hAnsi="Verdana"/>
                      <w:sz w:val="18"/>
                      <w:szCs w:val="18"/>
                    </w:rPr>
                  </w:pPr>
                  <w:r w:rsidRPr="0059613C">
                    <w:rPr>
                      <w:rFonts w:ascii="Verdana" w:hAnsi="Verdana"/>
                      <w:sz w:val="18"/>
                      <w:szCs w:val="18"/>
                      <w:lang w:eastAsia="es-CL"/>
                    </w:rPr>
                    <w:t>Atacama</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367845E" w14:textId="77777777" w:rsidR="005416E3" w:rsidRPr="0059613C" w:rsidRDefault="005416E3" w:rsidP="0059613C">
                  <w:pPr>
                    <w:spacing w:after="0"/>
                    <w:jc w:val="center"/>
                    <w:rPr>
                      <w:rFonts w:ascii="Verdana" w:hAnsi="Verdana"/>
                      <w:sz w:val="18"/>
                      <w:szCs w:val="18"/>
                    </w:rPr>
                  </w:pPr>
                  <w:r w:rsidRPr="0059613C">
                    <w:rPr>
                      <w:rFonts w:ascii="Verdana" w:hAnsi="Verdana"/>
                      <w:sz w:val="18"/>
                      <w:szCs w:val="18"/>
                      <w:lang w:eastAsia="es-CL"/>
                    </w:rPr>
                    <w:t>92</w:t>
                  </w:r>
                </w:p>
              </w:tc>
              <w:tc>
                <w:tcPr>
                  <w:tcW w:w="241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54DD3A6" w14:textId="77777777" w:rsidR="005416E3" w:rsidRPr="0059613C" w:rsidRDefault="005416E3" w:rsidP="0059613C">
                  <w:pPr>
                    <w:spacing w:after="0"/>
                    <w:jc w:val="center"/>
                    <w:rPr>
                      <w:rFonts w:ascii="Verdana" w:hAnsi="Verdana"/>
                      <w:sz w:val="18"/>
                      <w:szCs w:val="18"/>
                    </w:rPr>
                  </w:pPr>
                  <w:r w:rsidRPr="0059613C">
                    <w:rPr>
                      <w:rFonts w:ascii="Verdana" w:hAnsi="Verdana"/>
                      <w:sz w:val="18"/>
                      <w:szCs w:val="18"/>
                    </w:rPr>
                    <w:t>93</w:t>
                  </w:r>
                </w:p>
              </w:tc>
              <w:tc>
                <w:tcPr>
                  <w:tcW w:w="2194" w:type="dxa"/>
                  <w:tcBorders>
                    <w:top w:val="nil"/>
                    <w:left w:val="nil"/>
                    <w:bottom w:val="single" w:sz="8" w:space="0" w:color="auto"/>
                    <w:right w:val="single" w:sz="8" w:space="0" w:color="auto"/>
                  </w:tcBorders>
                  <w:vAlign w:val="center"/>
                </w:tcPr>
                <w:p w14:paraId="45BD8EC6" w14:textId="77777777" w:rsidR="005416E3" w:rsidRPr="0059613C" w:rsidRDefault="005416E3" w:rsidP="0059613C">
                  <w:pPr>
                    <w:spacing w:after="0"/>
                    <w:jc w:val="center"/>
                    <w:rPr>
                      <w:rFonts w:ascii="Verdana" w:hAnsi="Verdana"/>
                      <w:sz w:val="18"/>
                      <w:szCs w:val="18"/>
                      <w:lang w:eastAsia="es-CL"/>
                    </w:rPr>
                  </w:pPr>
                  <w:r w:rsidRPr="0059613C">
                    <w:rPr>
                      <w:rFonts w:ascii="Verdana" w:hAnsi="Verdana"/>
                      <w:sz w:val="18"/>
                      <w:szCs w:val="18"/>
                      <w:lang w:eastAsia="es-CL"/>
                    </w:rPr>
                    <w:t>101,1%</w:t>
                  </w:r>
                </w:p>
              </w:tc>
            </w:tr>
            <w:tr w:rsidR="005416E3" w:rsidRPr="0059613C" w14:paraId="091C1CD1" w14:textId="77777777" w:rsidTr="0059613C">
              <w:trPr>
                <w:trHeight w:val="60"/>
              </w:trPr>
              <w:tc>
                <w:tcPr>
                  <w:tcW w:w="186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15B0B56" w14:textId="77777777" w:rsidR="005416E3" w:rsidRPr="0059613C" w:rsidRDefault="005416E3" w:rsidP="0059613C">
                  <w:pPr>
                    <w:spacing w:after="0"/>
                    <w:rPr>
                      <w:rFonts w:ascii="Verdana" w:hAnsi="Verdana"/>
                      <w:sz w:val="18"/>
                      <w:szCs w:val="18"/>
                    </w:rPr>
                  </w:pPr>
                  <w:r w:rsidRPr="0059613C">
                    <w:rPr>
                      <w:rFonts w:ascii="Verdana" w:hAnsi="Verdana"/>
                      <w:sz w:val="18"/>
                      <w:szCs w:val="18"/>
                      <w:lang w:eastAsia="es-CL"/>
                    </w:rPr>
                    <w:t>Coquimbo</w:t>
                  </w:r>
                </w:p>
              </w:tc>
              <w:tc>
                <w:tcPr>
                  <w:tcW w:w="212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CCED4CF" w14:textId="77777777" w:rsidR="005416E3" w:rsidRPr="0059613C" w:rsidRDefault="005416E3" w:rsidP="0059613C">
                  <w:pPr>
                    <w:spacing w:after="0"/>
                    <w:jc w:val="center"/>
                    <w:rPr>
                      <w:rFonts w:ascii="Verdana" w:hAnsi="Verdana"/>
                      <w:sz w:val="18"/>
                      <w:szCs w:val="18"/>
                    </w:rPr>
                  </w:pPr>
                  <w:r w:rsidRPr="0059613C">
                    <w:rPr>
                      <w:rFonts w:ascii="Verdana" w:hAnsi="Verdana"/>
                      <w:sz w:val="18"/>
                      <w:szCs w:val="18"/>
                      <w:lang w:eastAsia="es-CL"/>
                    </w:rPr>
                    <w:t>125</w:t>
                  </w:r>
                </w:p>
              </w:tc>
              <w:tc>
                <w:tcPr>
                  <w:tcW w:w="241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5C6D8B3" w14:textId="77777777" w:rsidR="005416E3" w:rsidRPr="0059613C" w:rsidRDefault="005416E3" w:rsidP="0059613C">
                  <w:pPr>
                    <w:spacing w:after="0"/>
                    <w:jc w:val="center"/>
                    <w:rPr>
                      <w:rFonts w:ascii="Verdana" w:hAnsi="Verdana"/>
                      <w:sz w:val="18"/>
                      <w:szCs w:val="18"/>
                    </w:rPr>
                  </w:pPr>
                  <w:r w:rsidRPr="0059613C">
                    <w:rPr>
                      <w:rFonts w:ascii="Verdana" w:hAnsi="Verdana"/>
                      <w:sz w:val="18"/>
                      <w:szCs w:val="18"/>
                      <w:lang w:eastAsia="es-CL"/>
                    </w:rPr>
                    <w:t>187</w:t>
                  </w:r>
                </w:p>
              </w:tc>
              <w:tc>
                <w:tcPr>
                  <w:tcW w:w="2194" w:type="dxa"/>
                  <w:tcBorders>
                    <w:top w:val="nil"/>
                    <w:left w:val="nil"/>
                    <w:bottom w:val="single" w:sz="8" w:space="0" w:color="auto"/>
                    <w:right w:val="single" w:sz="8" w:space="0" w:color="auto"/>
                  </w:tcBorders>
                  <w:vAlign w:val="center"/>
                </w:tcPr>
                <w:p w14:paraId="28741A27" w14:textId="77777777" w:rsidR="005416E3" w:rsidRPr="0059613C" w:rsidRDefault="005416E3" w:rsidP="0059613C">
                  <w:pPr>
                    <w:spacing w:after="0"/>
                    <w:jc w:val="center"/>
                    <w:rPr>
                      <w:rFonts w:ascii="Verdana" w:hAnsi="Verdana"/>
                      <w:sz w:val="18"/>
                      <w:szCs w:val="18"/>
                      <w:lang w:eastAsia="es-CL"/>
                    </w:rPr>
                  </w:pPr>
                  <w:r w:rsidRPr="0059613C">
                    <w:rPr>
                      <w:rFonts w:ascii="Verdana" w:hAnsi="Verdana"/>
                      <w:sz w:val="18"/>
                      <w:szCs w:val="18"/>
                      <w:lang w:eastAsia="es-CL"/>
                    </w:rPr>
                    <w:t>149,6%</w:t>
                  </w:r>
                </w:p>
              </w:tc>
            </w:tr>
            <w:tr w:rsidR="005416E3" w:rsidRPr="0059613C" w14:paraId="4BDDABD6" w14:textId="77777777" w:rsidTr="0059613C">
              <w:trPr>
                <w:trHeight w:val="60"/>
              </w:trPr>
              <w:tc>
                <w:tcPr>
                  <w:tcW w:w="1862" w:type="dxa"/>
                  <w:tcBorders>
                    <w:top w:val="nil"/>
                    <w:left w:val="single" w:sz="8" w:space="0" w:color="auto"/>
                    <w:bottom w:val="single" w:sz="8" w:space="0" w:color="auto"/>
                    <w:right w:val="single" w:sz="8" w:space="0" w:color="auto"/>
                  </w:tcBorders>
                  <w:shd w:val="clear" w:color="auto" w:fill="DEEAF6" w:themeFill="accent1" w:themeFillTint="33"/>
                  <w:noWrap/>
                  <w:tcMar>
                    <w:top w:w="0" w:type="dxa"/>
                    <w:left w:w="70" w:type="dxa"/>
                    <w:bottom w:w="0" w:type="dxa"/>
                    <w:right w:w="70" w:type="dxa"/>
                  </w:tcMar>
                  <w:vAlign w:val="bottom"/>
                  <w:hideMark/>
                </w:tcPr>
                <w:p w14:paraId="168A3ED1" w14:textId="77777777" w:rsidR="005416E3" w:rsidRPr="0059613C" w:rsidRDefault="005416E3" w:rsidP="005416E3">
                  <w:pPr>
                    <w:spacing w:after="0"/>
                    <w:rPr>
                      <w:rFonts w:ascii="Verdana" w:hAnsi="Verdana"/>
                      <w:sz w:val="18"/>
                      <w:szCs w:val="18"/>
                    </w:rPr>
                  </w:pPr>
                  <w:r w:rsidRPr="0059613C">
                    <w:rPr>
                      <w:rFonts w:ascii="Verdana" w:hAnsi="Verdana"/>
                      <w:b/>
                      <w:bCs/>
                      <w:sz w:val="18"/>
                      <w:szCs w:val="18"/>
                      <w:lang w:eastAsia="es-CL"/>
                    </w:rPr>
                    <w:t>Total MZN</w:t>
                  </w:r>
                </w:p>
              </w:tc>
              <w:tc>
                <w:tcPr>
                  <w:tcW w:w="2126" w:type="dxa"/>
                  <w:tcBorders>
                    <w:top w:val="nil"/>
                    <w:left w:val="nil"/>
                    <w:bottom w:val="single" w:sz="8" w:space="0" w:color="auto"/>
                    <w:right w:val="single" w:sz="8" w:space="0" w:color="auto"/>
                  </w:tcBorders>
                  <w:shd w:val="clear" w:color="auto" w:fill="DEEAF6" w:themeFill="accent1" w:themeFillTint="33"/>
                  <w:noWrap/>
                  <w:tcMar>
                    <w:top w:w="0" w:type="dxa"/>
                    <w:left w:w="70" w:type="dxa"/>
                    <w:bottom w:w="0" w:type="dxa"/>
                    <w:right w:w="70" w:type="dxa"/>
                  </w:tcMar>
                  <w:vAlign w:val="bottom"/>
                  <w:hideMark/>
                </w:tcPr>
                <w:p w14:paraId="509896F1" w14:textId="77777777" w:rsidR="005416E3" w:rsidRPr="0059613C" w:rsidRDefault="005416E3" w:rsidP="005416E3">
                  <w:pPr>
                    <w:spacing w:after="0"/>
                    <w:jc w:val="center"/>
                    <w:rPr>
                      <w:rFonts w:ascii="Verdana" w:hAnsi="Verdana"/>
                      <w:sz w:val="18"/>
                      <w:szCs w:val="18"/>
                    </w:rPr>
                  </w:pPr>
                  <w:r w:rsidRPr="0059613C">
                    <w:rPr>
                      <w:rFonts w:ascii="Verdana" w:hAnsi="Verdana"/>
                      <w:b/>
                      <w:bCs/>
                      <w:sz w:val="18"/>
                      <w:szCs w:val="18"/>
                      <w:lang w:eastAsia="es-CL"/>
                    </w:rPr>
                    <w:t>297</w:t>
                  </w:r>
                </w:p>
              </w:tc>
              <w:tc>
                <w:tcPr>
                  <w:tcW w:w="2410" w:type="dxa"/>
                  <w:tcBorders>
                    <w:top w:val="nil"/>
                    <w:left w:val="nil"/>
                    <w:bottom w:val="single" w:sz="8" w:space="0" w:color="auto"/>
                    <w:right w:val="single" w:sz="8" w:space="0" w:color="auto"/>
                  </w:tcBorders>
                  <w:shd w:val="clear" w:color="auto" w:fill="DEEAF6" w:themeFill="accent1" w:themeFillTint="33"/>
                  <w:noWrap/>
                  <w:tcMar>
                    <w:top w:w="0" w:type="dxa"/>
                    <w:left w:w="70" w:type="dxa"/>
                    <w:bottom w:w="0" w:type="dxa"/>
                    <w:right w:w="70" w:type="dxa"/>
                  </w:tcMar>
                  <w:vAlign w:val="bottom"/>
                  <w:hideMark/>
                </w:tcPr>
                <w:p w14:paraId="08E36C2D" w14:textId="77777777" w:rsidR="005416E3" w:rsidRPr="0059613C" w:rsidRDefault="005416E3" w:rsidP="005416E3">
                  <w:pPr>
                    <w:spacing w:after="0"/>
                    <w:jc w:val="center"/>
                    <w:rPr>
                      <w:rFonts w:ascii="Verdana" w:hAnsi="Verdana"/>
                      <w:sz w:val="18"/>
                      <w:szCs w:val="18"/>
                    </w:rPr>
                  </w:pPr>
                  <w:r w:rsidRPr="0059613C">
                    <w:rPr>
                      <w:rFonts w:ascii="Verdana" w:hAnsi="Verdana"/>
                      <w:b/>
                      <w:bCs/>
                      <w:sz w:val="18"/>
                      <w:szCs w:val="18"/>
                      <w:lang w:eastAsia="es-CL"/>
                    </w:rPr>
                    <w:t>363</w:t>
                  </w:r>
                </w:p>
              </w:tc>
              <w:tc>
                <w:tcPr>
                  <w:tcW w:w="2194" w:type="dxa"/>
                  <w:tcBorders>
                    <w:top w:val="nil"/>
                    <w:left w:val="nil"/>
                    <w:bottom w:val="single" w:sz="8" w:space="0" w:color="auto"/>
                    <w:right w:val="single" w:sz="8" w:space="0" w:color="auto"/>
                  </w:tcBorders>
                  <w:shd w:val="clear" w:color="auto" w:fill="DEEAF6" w:themeFill="accent1" w:themeFillTint="33"/>
                </w:tcPr>
                <w:p w14:paraId="17B9BEE9" w14:textId="77777777" w:rsidR="005416E3" w:rsidRPr="0059613C" w:rsidRDefault="005416E3" w:rsidP="005416E3">
                  <w:pPr>
                    <w:spacing w:after="0"/>
                    <w:jc w:val="center"/>
                    <w:rPr>
                      <w:rFonts w:ascii="Verdana" w:hAnsi="Verdana"/>
                      <w:b/>
                      <w:sz w:val="18"/>
                      <w:szCs w:val="18"/>
                      <w:lang w:eastAsia="es-CL"/>
                    </w:rPr>
                  </w:pPr>
                  <w:r w:rsidRPr="0059613C">
                    <w:rPr>
                      <w:rFonts w:ascii="Verdana" w:hAnsi="Verdana"/>
                      <w:b/>
                      <w:sz w:val="18"/>
                      <w:szCs w:val="18"/>
                      <w:lang w:eastAsia="es-CL"/>
                    </w:rPr>
                    <w:t>122,2%</w:t>
                  </w:r>
                </w:p>
              </w:tc>
            </w:tr>
          </w:tbl>
          <w:p w14:paraId="12161D9E" w14:textId="77777777" w:rsidR="005416E3" w:rsidRDefault="005416E3" w:rsidP="005416E3">
            <w:pPr>
              <w:jc w:val="both"/>
              <w:rPr>
                <w:rFonts w:ascii="Verdana" w:hAnsi="Verdana"/>
                <w:b w:val="0"/>
                <w:sz w:val="18"/>
                <w:szCs w:val="18"/>
              </w:rPr>
            </w:pPr>
          </w:p>
          <w:p w14:paraId="757AE6F3" w14:textId="77777777" w:rsidR="005416E3" w:rsidRPr="005416E3" w:rsidRDefault="005416E3" w:rsidP="005416E3">
            <w:pPr>
              <w:jc w:val="both"/>
              <w:rPr>
                <w:rFonts w:ascii="Verdana" w:hAnsi="Verdana"/>
                <w:b w:val="0"/>
                <w:sz w:val="18"/>
                <w:szCs w:val="18"/>
              </w:rPr>
            </w:pPr>
            <w:r w:rsidRPr="00BE4472">
              <w:rPr>
                <w:rFonts w:ascii="Verdana" w:hAnsi="Verdana"/>
                <w:b w:val="0"/>
                <w:sz w:val="18"/>
                <w:szCs w:val="18"/>
              </w:rPr>
              <w:t>El sobrecumplimiento del</w:t>
            </w:r>
            <w:r>
              <w:rPr>
                <w:rFonts w:ascii="Verdana" w:hAnsi="Verdana"/>
                <w:b w:val="0"/>
                <w:sz w:val="18"/>
                <w:szCs w:val="18"/>
              </w:rPr>
              <w:t xml:space="preserve"> muestreo realizado en las regiones</w:t>
            </w:r>
            <w:r w:rsidRPr="00BE4472">
              <w:rPr>
                <w:rFonts w:ascii="Verdana" w:hAnsi="Verdana"/>
                <w:b w:val="0"/>
                <w:sz w:val="18"/>
                <w:szCs w:val="18"/>
              </w:rPr>
              <w:t xml:space="preserve"> de</w:t>
            </w:r>
            <w:r>
              <w:rPr>
                <w:rFonts w:ascii="Verdana" w:hAnsi="Verdana"/>
                <w:b w:val="0"/>
                <w:sz w:val="18"/>
                <w:szCs w:val="18"/>
              </w:rPr>
              <w:t xml:space="preserve"> Antofagasta y</w:t>
            </w:r>
            <w:r w:rsidRPr="00BE4472">
              <w:rPr>
                <w:rFonts w:ascii="Verdana" w:hAnsi="Verdana"/>
                <w:b w:val="0"/>
                <w:sz w:val="18"/>
                <w:szCs w:val="18"/>
              </w:rPr>
              <w:t xml:space="preserve"> Coquimbo </w:t>
            </w:r>
            <w:r w:rsidRPr="005416E3">
              <w:rPr>
                <w:rFonts w:ascii="Verdana" w:hAnsi="Verdana"/>
                <w:b w:val="0"/>
                <w:sz w:val="18"/>
                <w:szCs w:val="18"/>
              </w:rPr>
              <w:t>se debe principalmente por la oportunidad de muestreo, ya que diferentes programas pecuarios que actúan en las regiones dentro de su actividad aprovechan la instancia para realizar más muestras de las programadas, además y en menor medida</w:t>
            </w:r>
            <w:r w:rsidR="00C7251C">
              <w:rPr>
                <w:rFonts w:ascii="Verdana" w:hAnsi="Verdana"/>
                <w:b w:val="0"/>
                <w:sz w:val="18"/>
                <w:szCs w:val="18"/>
              </w:rPr>
              <w:t>, las</w:t>
            </w:r>
            <w:r w:rsidRPr="005416E3">
              <w:rPr>
                <w:rFonts w:ascii="Verdana" w:hAnsi="Verdana"/>
                <w:b w:val="0"/>
                <w:sz w:val="18"/>
                <w:szCs w:val="18"/>
              </w:rPr>
              <w:t xml:space="preserve"> regiones aseguran los resultados de sus muestreos incluyendo más cantidad de animales con el propósito de poder reemplazar resultados no viables. </w:t>
            </w:r>
          </w:p>
          <w:p w14:paraId="06FAED18" w14:textId="77777777" w:rsidR="005416E3" w:rsidRDefault="005416E3" w:rsidP="005416E3">
            <w:pPr>
              <w:jc w:val="both"/>
              <w:rPr>
                <w:rFonts w:ascii="Verdana" w:hAnsi="Verdana"/>
                <w:b w:val="0"/>
                <w:color w:val="FF0000"/>
                <w:sz w:val="18"/>
                <w:szCs w:val="18"/>
              </w:rPr>
            </w:pPr>
          </w:p>
          <w:p w14:paraId="63666C16" w14:textId="6C9CD918" w:rsidR="005416E3" w:rsidRDefault="005416E3" w:rsidP="005416E3">
            <w:pPr>
              <w:jc w:val="both"/>
              <w:rPr>
                <w:rFonts w:ascii="Verdana" w:hAnsi="Verdana"/>
                <w:b w:val="0"/>
                <w:sz w:val="18"/>
                <w:szCs w:val="18"/>
              </w:rPr>
            </w:pPr>
            <w:r w:rsidRPr="00BE4472">
              <w:rPr>
                <w:rFonts w:ascii="Verdana" w:hAnsi="Verdana"/>
                <w:b w:val="0"/>
                <w:sz w:val="18"/>
                <w:szCs w:val="18"/>
              </w:rPr>
              <w:t xml:space="preserve">En la actualidad, la condición sanitaria presente y el avance en estos años en la </w:t>
            </w:r>
            <w:proofErr w:type="spellStart"/>
            <w:r w:rsidRPr="00BE4472">
              <w:rPr>
                <w:rFonts w:ascii="Verdana" w:hAnsi="Verdana"/>
                <w:b w:val="0"/>
                <w:sz w:val="18"/>
                <w:szCs w:val="18"/>
              </w:rPr>
              <w:t>Macrozona</w:t>
            </w:r>
            <w:proofErr w:type="spellEnd"/>
            <w:r w:rsidRPr="00BE4472">
              <w:rPr>
                <w:rFonts w:ascii="Verdana" w:hAnsi="Verdana"/>
                <w:b w:val="0"/>
                <w:sz w:val="18"/>
                <w:szCs w:val="18"/>
              </w:rPr>
              <w:t xml:space="preserve"> Norte respecto a la erradicación de la enfermedad Brucelosis bovina, se ha oficializado mediante:</w:t>
            </w:r>
          </w:p>
          <w:p w14:paraId="58414F59" w14:textId="77777777" w:rsidR="004711B9" w:rsidRPr="00BE4472" w:rsidRDefault="004711B9" w:rsidP="005416E3">
            <w:pPr>
              <w:jc w:val="both"/>
              <w:rPr>
                <w:rFonts w:ascii="Verdana" w:hAnsi="Verdana"/>
                <w:b w:val="0"/>
                <w:sz w:val="18"/>
                <w:szCs w:val="18"/>
              </w:rPr>
            </w:pPr>
          </w:p>
          <w:p w14:paraId="6B4D74F0" w14:textId="77777777" w:rsidR="005416E3" w:rsidRPr="00BE4472" w:rsidRDefault="005416E3" w:rsidP="005416E3">
            <w:pPr>
              <w:pStyle w:val="Prrafodelista"/>
              <w:numPr>
                <w:ilvl w:val="0"/>
                <w:numId w:val="16"/>
              </w:numPr>
              <w:ind w:left="450" w:hanging="283"/>
              <w:jc w:val="both"/>
              <w:rPr>
                <w:rFonts w:ascii="Verdana" w:hAnsi="Verdana"/>
                <w:b w:val="0"/>
                <w:sz w:val="18"/>
                <w:szCs w:val="18"/>
              </w:rPr>
            </w:pPr>
            <w:r w:rsidRPr="00BE4472">
              <w:rPr>
                <w:rFonts w:ascii="Verdana" w:hAnsi="Verdana"/>
                <w:b w:val="0"/>
                <w:sz w:val="18"/>
                <w:szCs w:val="18"/>
              </w:rPr>
              <w:t>Res. Ex. N°5579/2017 que declara a las regiones de Arica y Parinacota, Tarapacá y Antofagasta libres de Brucelosis bovina.</w:t>
            </w:r>
          </w:p>
          <w:p w14:paraId="158BF913" w14:textId="77777777" w:rsidR="005416E3" w:rsidRPr="00BE4472" w:rsidRDefault="005416E3" w:rsidP="005416E3">
            <w:pPr>
              <w:pStyle w:val="Prrafodelista"/>
              <w:numPr>
                <w:ilvl w:val="0"/>
                <w:numId w:val="16"/>
              </w:numPr>
              <w:ind w:left="450" w:hanging="283"/>
              <w:jc w:val="both"/>
              <w:rPr>
                <w:rFonts w:ascii="Verdana" w:hAnsi="Verdana"/>
                <w:b w:val="0"/>
                <w:sz w:val="18"/>
                <w:szCs w:val="18"/>
              </w:rPr>
            </w:pPr>
            <w:r w:rsidRPr="00BE4472">
              <w:rPr>
                <w:rFonts w:ascii="Verdana" w:hAnsi="Verdana"/>
                <w:b w:val="0"/>
                <w:sz w:val="18"/>
                <w:szCs w:val="18"/>
              </w:rPr>
              <w:t>Res. Ex. N°6840/2017 que declara erradicada la Brucelosis bovina en las regiones de Atacama y Coquimbo y establece a estas regiones como provisionalmente libres.</w:t>
            </w:r>
          </w:p>
          <w:p w14:paraId="35DF184F" w14:textId="77777777" w:rsidR="005416E3" w:rsidRPr="00BE4472" w:rsidRDefault="005416E3" w:rsidP="005416E3">
            <w:pPr>
              <w:pStyle w:val="Prrafodelista"/>
              <w:numPr>
                <w:ilvl w:val="0"/>
                <w:numId w:val="16"/>
              </w:numPr>
              <w:ind w:left="450" w:hanging="283"/>
              <w:jc w:val="both"/>
              <w:rPr>
                <w:rFonts w:ascii="Verdana" w:hAnsi="Verdana"/>
                <w:b w:val="0"/>
                <w:sz w:val="18"/>
                <w:szCs w:val="18"/>
              </w:rPr>
            </w:pPr>
            <w:r w:rsidRPr="00BE4472">
              <w:rPr>
                <w:rFonts w:ascii="Verdana" w:hAnsi="Verdana"/>
                <w:b w:val="0"/>
                <w:sz w:val="18"/>
                <w:szCs w:val="18"/>
              </w:rPr>
              <w:t>Res. Ex. N°1129/2018 que establece medidas de vigilancia para la detección de Brucelosis bovina y deroga resolución N°7551 de 2012.</w:t>
            </w:r>
          </w:p>
          <w:p w14:paraId="4AB45056" w14:textId="77777777" w:rsidR="005416E3" w:rsidRPr="00BE4472" w:rsidRDefault="005416E3" w:rsidP="005416E3">
            <w:pPr>
              <w:jc w:val="both"/>
              <w:rPr>
                <w:rFonts w:ascii="Verdana" w:hAnsi="Verdana"/>
                <w:b w:val="0"/>
                <w:sz w:val="18"/>
                <w:szCs w:val="18"/>
              </w:rPr>
            </w:pPr>
            <w:r w:rsidRPr="00BE4472">
              <w:rPr>
                <w:rFonts w:ascii="Verdana" w:hAnsi="Verdana"/>
                <w:b w:val="0"/>
                <w:sz w:val="18"/>
                <w:szCs w:val="18"/>
              </w:rPr>
              <w:t xml:space="preserve"> </w:t>
            </w:r>
          </w:p>
          <w:p w14:paraId="027AD195" w14:textId="77777777" w:rsidR="00900839" w:rsidRPr="005416E3" w:rsidRDefault="005416E3" w:rsidP="00900839">
            <w:pPr>
              <w:jc w:val="both"/>
              <w:rPr>
                <w:rFonts w:ascii="Verdana" w:hAnsi="Verdana"/>
                <w:b w:val="0"/>
                <w:sz w:val="18"/>
                <w:szCs w:val="18"/>
              </w:rPr>
            </w:pPr>
            <w:r w:rsidRPr="00BE4472">
              <w:rPr>
                <w:rFonts w:ascii="Verdana" w:hAnsi="Verdana"/>
                <w:b w:val="0"/>
                <w:sz w:val="18"/>
                <w:szCs w:val="18"/>
              </w:rPr>
              <w:t xml:space="preserve">Con estos resultados se avanza hacia el objetivo final de este programa, la erradicación del territorio nacional de la enfermedad brucelosis bovina. </w:t>
            </w:r>
          </w:p>
          <w:p w14:paraId="3CC6E88B" w14:textId="77777777" w:rsidR="00E640C4" w:rsidRPr="002403D3" w:rsidRDefault="00E640C4" w:rsidP="00534647">
            <w:pPr>
              <w:jc w:val="both"/>
              <w:rPr>
                <w:rFonts w:ascii="Verdana" w:hAnsi="Verdana"/>
                <w:sz w:val="18"/>
                <w:szCs w:val="18"/>
              </w:rPr>
            </w:pPr>
          </w:p>
        </w:tc>
      </w:tr>
    </w:tbl>
    <w:p w14:paraId="1CFD882F" w14:textId="77777777" w:rsidR="00B16616" w:rsidRDefault="00B16616" w:rsidP="005416E3">
      <w:pPr>
        <w:jc w:val="both"/>
        <w:rPr>
          <w:rFonts w:ascii="Verdana" w:hAnsi="Verdana"/>
          <w:sz w:val="18"/>
          <w:szCs w:val="18"/>
        </w:rPr>
      </w:pPr>
    </w:p>
    <w:p w14:paraId="455E2247" w14:textId="77777777" w:rsidR="00B16616" w:rsidRPr="00D72D50" w:rsidRDefault="00B16616" w:rsidP="00C0357D">
      <w:pPr>
        <w:ind w:left="360"/>
        <w:jc w:val="both"/>
        <w:rPr>
          <w:rFonts w:ascii="Verdana" w:hAnsi="Verdana"/>
          <w:sz w:val="18"/>
          <w:szCs w:val="18"/>
        </w:rPr>
      </w:pPr>
    </w:p>
    <w:tbl>
      <w:tblPr>
        <w:tblStyle w:val="Tabladecuadrcula4-nfasis11"/>
        <w:tblW w:w="5000" w:type="pct"/>
        <w:tblLook w:val="04A0" w:firstRow="1" w:lastRow="0" w:firstColumn="1" w:lastColumn="0" w:noHBand="0" w:noVBand="1"/>
      </w:tblPr>
      <w:tblGrid>
        <w:gridCol w:w="4958"/>
        <w:gridCol w:w="1418"/>
        <w:gridCol w:w="2452"/>
      </w:tblGrid>
      <w:tr w:rsidR="00EF594C" w14:paraId="655B48CB" w14:textId="77777777" w:rsidTr="004711B9">
        <w:trPr>
          <w:cnfStyle w:val="100000000000" w:firstRow="1" w:lastRow="0" w:firstColumn="0" w:lastColumn="0" w:oddVBand="0" w:evenVBand="0" w:oddHBand="0" w:evenHBand="0" w:firstRowFirstColumn="0" w:firstRowLastColumn="0" w:lastRowFirstColumn="0" w:lastRowLastColumn="0"/>
          <w:trHeight w:val="109"/>
        </w:trPr>
        <w:tc>
          <w:tcPr>
            <w:cnfStyle w:val="001000000000" w:firstRow="0" w:lastRow="0" w:firstColumn="1" w:lastColumn="0" w:oddVBand="0" w:evenVBand="0" w:oddHBand="0" w:evenHBand="0" w:firstRowFirstColumn="0" w:firstRowLastColumn="0" w:lastRowFirstColumn="0" w:lastRowLastColumn="0"/>
            <w:tcW w:w="2808" w:type="pct"/>
          </w:tcPr>
          <w:p w14:paraId="4755E844" w14:textId="77777777" w:rsidR="00EF594C" w:rsidRPr="00D72D50" w:rsidRDefault="00EF594C" w:rsidP="00776881">
            <w:pPr>
              <w:jc w:val="center"/>
              <w:rPr>
                <w:rFonts w:ascii="Verdana" w:hAnsi="Verdana"/>
                <w:sz w:val="18"/>
                <w:szCs w:val="18"/>
              </w:rPr>
            </w:pPr>
            <w:r w:rsidRPr="00D72D50">
              <w:rPr>
                <w:rFonts w:ascii="Verdana" w:hAnsi="Verdana"/>
                <w:sz w:val="18"/>
                <w:szCs w:val="18"/>
              </w:rPr>
              <w:t>Objetivo Estratégico</w:t>
            </w:r>
          </w:p>
        </w:tc>
        <w:tc>
          <w:tcPr>
            <w:tcW w:w="2192" w:type="pct"/>
            <w:gridSpan w:val="2"/>
          </w:tcPr>
          <w:p w14:paraId="45BC56D0" w14:textId="77777777" w:rsidR="00EF594C" w:rsidRPr="00D72D50" w:rsidRDefault="00D17E22" w:rsidP="00B16616">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sidRPr="00D72D50">
              <w:rPr>
                <w:rFonts w:ascii="Verdana" w:hAnsi="Verdana"/>
                <w:sz w:val="18"/>
                <w:szCs w:val="18"/>
              </w:rPr>
              <w:t>Objetivo Específico 201</w:t>
            </w:r>
            <w:r w:rsidR="00B16616">
              <w:rPr>
                <w:rFonts w:ascii="Verdana" w:hAnsi="Verdana"/>
                <w:sz w:val="18"/>
                <w:szCs w:val="18"/>
              </w:rPr>
              <w:t>9</w:t>
            </w:r>
            <w:r>
              <w:rPr>
                <w:rFonts w:ascii="Verdana" w:hAnsi="Verdana"/>
                <w:sz w:val="18"/>
                <w:szCs w:val="18"/>
              </w:rPr>
              <w:t xml:space="preserve"> (Táctico)</w:t>
            </w:r>
          </w:p>
        </w:tc>
      </w:tr>
      <w:tr w:rsidR="00EF594C" w14:paraId="6CF99349" w14:textId="77777777" w:rsidTr="004711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pct"/>
          </w:tcPr>
          <w:p w14:paraId="7A048EC6" w14:textId="77777777" w:rsidR="00EF594C" w:rsidRPr="001019D8" w:rsidRDefault="00B16616" w:rsidP="00776881">
            <w:pPr>
              <w:jc w:val="both"/>
              <w:rPr>
                <w:rFonts w:ascii="Verdana" w:hAnsi="Verdana"/>
                <w:sz w:val="18"/>
                <w:szCs w:val="18"/>
              </w:rPr>
            </w:pPr>
            <w:r w:rsidRPr="001019D8">
              <w:rPr>
                <w:rFonts w:ascii="Verdana" w:hAnsi="Verdana" w:cstheme="minorHAnsi"/>
                <w:sz w:val="20"/>
                <w:szCs w:val="20"/>
              </w:rPr>
              <w:t xml:space="preserve">Fortalecer el patrimonio </w:t>
            </w:r>
            <w:proofErr w:type="spellStart"/>
            <w:r w:rsidRPr="001019D8">
              <w:rPr>
                <w:rFonts w:ascii="Verdana" w:hAnsi="Verdana" w:cstheme="minorHAnsi"/>
                <w:sz w:val="20"/>
                <w:szCs w:val="20"/>
              </w:rPr>
              <w:t>fito</w:t>
            </w:r>
            <w:proofErr w:type="spellEnd"/>
            <w:r w:rsidRPr="001019D8">
              <w:rPr>
                <w:rFonts w:ascii="Verdana" w:hAnsi="Verdana" w:cstheme="minorHAnsi"/>
                <w:sz w:val="20"/>
                <w:szCs w:val="20"/>
              </w:rPr>
              <w:t xml:space="preserve"> y zoosanitario del país para apoyar el desarrollo sustentable y competitivo del sector </w:t>
            </w:r>
            <w:proofErr w:type="spellStart"/>
            <w:r w:rsidRPr="001019D8">
              <w:rPr>
                <w:rFonts w:ascii="Verdana" w:hAnsi="Verdana" w:cstheme="minorHAnsi"/>
                <w:sz w:val="20"/>
                <w:szCs w:val="20"/>
              </w:rPr>
              <w:t>silvoagropecuario</w:t>
            </w:r>
            <w:proofErr w:type="spellEnd"/>
            <w:r w:rsidRPr="001019D8">
              <w:rPr>
                <w:rFonts w:ascii="Verdana" w:hAnsi="Verdana" w:cstheme="minorHAnsi"/>
                <w:sz w:val="20"/>
                <w:szCs w:val="20"/>
              </w:rPr>
              <w:t xml:space="preserve"> nacional velando por el cumplimiento de la normativa de los ámbitos de acción del Servicio.</w:t>
            </w:r>
          </w:p>
        </w:tc>
        <w:tc>
          <w:tcPr>
            <w:tcW w:w="2192" w:type="pct"/>
            <w:gridSpan w:val="2"/>
          </w:tcPr>
          <w:p w14:paraId="1BE64BE0" w14:textId="77777777" w:rsidR="00EF594C" w:rsidRPr="001019D8" w:rsidRDefault="00B16616" w:rsidP="00776881">
            <w:pPr>
              <w:jc w:val="both"/>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1019D8">
              <w:rPr>
                <w:rFonts w:ascii="Verdana" w:hAnsi="Verdana" w:cstheme="minorHAnsi"/>
                <w:sz w:val="20"/>
                <w:szCs w:val="20"/>
              </w:rPr>
              <w:t>Erradicar eventos de Moscas de la fruta de importancia económica.</w:t>
            </w:r>
          </w:p>
        </w:tc>
      </w:tr>
      <w:tr w:rsidR="00EF594C" w14:paraId="29C2F7D7" w14:textId="77777777" w:rsidTr="004711B9">
        <w:tc>
          <w:tcPr>
            <w:cnfStyle w:val="001000000000" w:firstRow="0" w:lastRow="0" w:firstColumn="1" w:lastColumn="0" w:oddVBand="0" w:evenVBand="0" w:oddHBand="0" w:evenHBand="0" w:firstRowFirstColumn="0" w:firstRowLastColumn="0" w:lastRowFirstColumn="0" w:lastRowLastColumn="0"/>
            <w:tcW w:w="2808" w:type="pct"/>
            <w:shd w:val="clear" w:color="auto" w:fill="5B9BD5" w:themeFill="accent1"/>
          </w:tcPr>
          <w:p w14:paraId="3D94393A" w14:textId="77777777" w:rsidR="00EF594C" w:rsidRPr="001019D8" w:rsidRDefault="00EF594C" w:rsidP="00776881">
            <w:pPr>
              <w:jc w:val="center"/>
              <w:rPr>
                <w:rFonts w:ascii="Verdana" w:hAnsi="Verdana"/>
                <w:color w:val="FFFFFF" w:themeColor="background1"/>
                <w:sz w:val="18"/>
                <w:szCs w:val="18"/>
              </w:rPr>
            </w:pPr>
            <w:r w:rsidRPr="001019D8">
              <w:rPr>
                <w:rFonts w:ascii="Verdana" w:hAnsi="Verdana"/>
                <w:color w:val="FFFFFF" w:themeColor="background1"/>
                <w:sz w:val="18"/>
                <w:szCs w:val="18"/>
              </w:rPr>
              <w:t>Indicador</w:t>
            </w:r>
          </w:p>
        </w:tc>
        <w:tc>
          <w:tcPr>
            <w:tcW w:w="803" w:type="pct"/>
            <w:shd w:val="clear" w:color="auto" w:fill="5B9BD5" w:themeFill="accent1"/>
          </w:tcPr>
          <w:p w14:paraId="7A643A83" w14:textId="77777777" w:rsidR="00EF594C" w:rsidRPr="001019D8" w:rsidRDefault="00EF594C" w:rsidP="00B16616">
            <w:pPr>
              <w:jc w:val="center"/>
              <w:cnfStyle w:val="000000000000" w:firstRow="0" w:lastRow="0" w:firstColumn="0" w:lastColumn="0" w:oddVBand="0" w:evenVBand="0" w:oddHBand="0" w:evenHBand="0" w:firstRowFirstColumn="0" w:firstRowLastColumn="0" w:lastRowFirstColumn="0" w:lastRowLastColumn="0"/>
              <w:rPr>
                <w:rFonts w:ascii="Verdana" w:hAnsi="Verdana"/>
                <w:b/>
                <w:color w:val="FFFFFF" w:themeColor="background1"/>
                <w:sz w:val="18"/>
                <w:szCs w:val="18"/>
              </w:rPr>
            </w:pPr>
            <w:r w:rsidRPr="001019D8">
              <w:rPr>
                <w:rFonts w:ascii="Verdana" w:hAnsi="Verdana"/>
                <w:b/>
                <w:color w:val="FFFFFF" w:themeColor="background1"/>
                <w:sz w:val="18"/>
                <w:szCs w:val="18"/>
              </w:rPr>
              <w:t>Meta 201</w:t>
            </w:r>
            <w:r w:rsidR="00B16616" w:rsidRPr="001019D8">
              <w:rPr>
                <w:rFonts w:ascii="Verdana" w:hAnsi="Verdana"/>
                <w:b/>
                <w:color w:val="FFFFFF" w:themeColor="background1"/>
                <w:sz w:val="18"/>
                <w:szCs w:val="18"/>
              </w:rPr>
              <w:t>9</w:t>
            </w:r>
          </w:p>
        </w:tc>
        <w:tc>
          <w:tcPr>
            <w:tcW w:w="1390" w:type="pct"/>
            <w:shd w:val="clear" w:color="auto" w:fill="5B9BD5" w:themeFill="accent1"/>
          </w:tcPr>
          <w:p w14:paraId="7225A8A0" w14:textId="77777777" w:rsidR="00EF594C" w:rsidRPr="001019D8" w:rsidRDefault="0096609A" w:rsidP="00B16616">
            <w:pPr>
              <w:jc w:val="center"/>
              <w:cnfStyle w:val="000000000000" w:firstRow="0" w:lastRow="0" w:firstColumn="0" w:lastColumn="0" w:oddVBand="0" w:evenVBand="0" w:oddHBand="0" w:evenHBand="0" w:firstRowFirstColumn="0" w:firstRowLastColumn="0" w:lastRowFirstColumn="0" w:lastRowLastColumn="0"/>
              <w:rPr>
                <w:rFonts w:ascii="Verdana" w:hAnsi="Verdana"/>
                <w:b/>
                <w:color w:val="FFFFFF" w:themeColor="background1"/>
                <w:sz w:val="18"/>
                <w:szCs w:val="18"/>
              </w:rPr>
            </w:pPr>
            <w:r w:rsidRPr="001019D8">
              <w:rPr>
                <w:rFonts w:ascii="Verdana" w:hAnsi="Verdana"/>
                <w:b/>
                <w:color w:val="FFFFFF" w:themeColor="background1"/>
                <w:sz w:val="18"/>
                <w:szCs w:val="18"/>
              </w:rPr>
              <w:t>Resultado al 31.12.19</w:t>
            </w:r>
          </w:p>
        </w:tc>
      </w:tr>
      <w:tr w:rsidR="00EF594C" w14:paraId="14670D3E" w14:textId="77777777" w:rsidTr="004711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pct"/>
          </w:tcPr>
          <w:p w14:paraId="37AAB45E" w14:textId="77777777" w:rsidR="00EF594C" w:rsidRPr="001019D8" w:rsidRDefault="00B16616" w:rsidP="00776881">
            <w:pPr>
              <w:jc w:val="both"/>
              <w:rPr>
                <w:rFonts w:ascii="Verdana" w:hAnsi="Verdana"/>
                <w:sz w:val="18"/>
                <w:szCs w:val="18"/>
              </w:rPr>
            </w:pPr>
            <w:r w:rsidRPr="001019D8">
              <w:rPr>
                <w:rFonts w:ascii="Verdana" w:hAnsi="Verdana" w:cstheme="minorHAnsi"/>
                <w:sz w:val="20"/>
                <w:szCs w:val="20"/>
              </w:rPr>
              <w:t>Porcentaje de eventos de Moscas de la Fruta confirmados erradicados respecto a los detectados</w:t>
            </w:r>
            <w:r w:rsidR="002E67B1" w:rsidRPr="001019D8">
              <w:rPr>
                <w:rFonts w:ascii="Verdana" w:hAnsi="Verdana" w:cstheme="minorHAnsi"/>
                <w:sz w:val="20"/>
                <w:szCs w:val="20"/>
              </w:rPr>
              <w:t>.</w:t>
            </w:r>
          </w:p>
        </w:tc>
        <w:tc>
          <w:tcPr>
            <w:tcW w:w="803" w:type="pct"/>
            <w:vAlign w:val="center"/>
          </w:tcPr>
          <w:p w14:paraId="2AD65C02" w14:textId="77777777" w:rsidR="00EF594C" w:rsidRPr="001019D8" w:rsidRDefault="00EF594C" w:rsidP="00435923">
            <w:pPr>
              <w:jc w:val="cente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1019D8">
              <w:rPr>
                <w:rFonts w:ascii="Verdana" w:hAnsi="Verdana"/>
                <w:sz w:val="24"/>
                <w:szCs w:val="24"/>
              </w:rPr>
              <w:t>100%</w:t>
            </w:r>
          </w:p>
        </w:tc>
        <w:tc>
          <w:tcPr>
            <w:tcW w:w="1390" w:type="pct"/>
            <w:vAlign w:val="center"/>
          </w:tcPr>
          <w:p w14:paraId="7C9474BE" w14:textId="77777777" w:rsidR="00BD4AAF" w:rsidRPr="001019D8" w:rsidRDefault="003377DF" w:rsidP="00435923">
            <w:pPr>
              <w:jc w:val="cente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1019D8">
              <w:rPr>
                <w:rFonts w:ascii="Verdana" w:hAnsi="Verdana"/>
                <w:sz w:val="24"/>
                <w:szCs w:val="24"/>
              </w:rPr>
              <w:t>100</w:t>
            </w:r>
            <w:r w:rsidR="00BD4AAF" w:rsidRPr="001019D8">
              <w:rPr>
                <w:rFonts w:ascii="Verdana" w:hAnsi="Verdana"/>
                <w:sz w:val="24"/>
                <w:szCs w:val="24"/>
              </w:rPr>
              <w:t>%</w:t>
            </w:r>
          </w:p>
          <w:p w14:paraId="664F89D1" w14:textId="77777777" w:rsidR="00EF594C" w:rsidRPr="001019D8" w:rsidRDefault="00BD4AAF" w:rsidP="001C4CA4">
            <w:pPr>
              <w:jc w:val="cente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1019D8">
              <w:rPr>
                <w:rFonts w:ascii="Verdana" w:hAnsi="Verdana"/>
                <w:sz w:val="24"/>
                <w:szCs w:val="24"/>
              </w:rPr>
              <w:t>(</w:t>
            </w:r>
            <w:r w:rsidR="001C4CA4" w:rsidRPr="001019D8">
              <w:rPr>
                <w:rFonts w:ascii="Verdana" w:hAnsi="Verdana"/>
                <w:sz w:val="24"/>
                <w:szCs w:val="24"/>
              </w:rPr>
              <w:t>26</w:t>
            </w:r>
            <w:r w:rsidRPr="001019D8">
              <w:rPr>
                <w:rFonts w:ascii="Verdana" w:hAnsi="Verdana"/>
                <w:sz w:val="24"/>
                <w:szCs w:val="24"/>
              </w:rPr>
              <w:t>/</w:t>
            </w:r>
            <w:r w:rsidR="001C4CA4" w:rsidRPr="001019D8">
              <w:rPr>
                <w:rFonts w:ascii="Verdana" w:hAnsi="Verdana"/>
                <w:sz w:val="24"/>
                <w:szCs w:val="24"/>
              </w:rPr>
              <w:t>26</w:t>
            </w:r>
            <w:r w:rsidRPr="001019D8">
              <w:rPr>
                <w:rFonts w:ascii="Verdana" w:hAnsi="Verdana"/>
                <w:sz w:val="24"/>
                <w:szCs w:val="24"/>
              </w:rPr>
              <w:t>)</w:t>
            </w:r>
          </w:p>
        </w:tc>
      </w:tr>
      <w:tr w:rsidR="00EF594C" w14:paraId="171E3F0F" w14:textId="77777777" w:rsidTr="00776881">
        <w:tc>
          <w:tcPr>
            <w:cnfStyle w:val="001000000000" w:firstRow="0" w:lastRow="0" w:firstColumn="1" w:lastColumn="0" w:oddVBand="0" w:evenVBand="0" w:oddHBand="0" w:evenHBand="0" w:firstRowFirstColumn="0" w:firstRowLastColumn="0" w:lastRowFirstColumn="0" w:lastRowLastColumn="0"/>
            <w:tcW w:w="5000" w:type="pct"/>
            <w:gridSpan w:val="3"/>
          </w:tcPr>
          <w:p w14:paraId="5073AFBB" w14:textId="77777777" w:rsidR="00697686" w:rsidRDefault="0096609A" w:rsidP="0059613C">
            <w:pPr>
              <w:jc w:val="both"/>
              <w:rPr>
                <w:rFonts w:ascii="Verdana" w:hAnsi="Verdana"/>
                <w:sz w:val="18"/>
                <w:szCs w:val="18"/>
              </w:rPr>
            </w:pPr>
            <w:r>
              <w:rPr>
                <w:rFonts w:ascii="Verdana" w:hAnsi="Verdana"/>
                <w:sz w:val="18"/>
                <w:szCs w:val="18"/>
              </w:rPr>
              <w:t>Descripción del Resultado:</w:t>
            </w:r>
          </w:p>
          <w:p w14:paraId="01297938" w14:textId="77777777" w:rsidR="003C240B" w:rsidRPr="006724E2" w:rsidRDefault="003C240B" w:rsidP="0059613C">
            <w:pPr>
              <w:jc w:val="both"/>
              <w:rPr>
                <w:rFonts w:ascii="Verdana" w:hAnsi="Verdana"/>
                <w:b w:val="0"/>
                <w:sz w:val="18"/>
                <w:szCs w:val="18"/>
              </w:rPr>
            </w:pPr>
            <w:r w:rsidRPr="006724E2">
              <w:rPr>
                <w:rFonts w:ascii="Verdana" w:hAnsi="Verdana"/>
                <w:b w:val="0"/>
                <w:sz w:val="18"/>
                <w:szCs w:val="18"/>
              </w:rPr>
              <w:t xml:space="preserve">El SAG cuenta con el Sistema Nacional de </w:t>
            </w:r>
            <w:r>
              <w:rPr>
                <w:rFonts w:ascii="Verdana" w:hAnsi="Verdana"/>
                <w:b w:val="0"/>
                <w:sz w:val="18"/>
                <w:szCs w:val="18"/>
              </w:rPr>
              <w:t xml:space="preserve">Detección de Moscas de la Fruta </w:t>
            </w:r>
            <w:r w:rsidRPr="006724E2">
              <w:rPr>
                <w:rFonts w:ascii="Verdana" w:hAnsi="Verdana"/>
                <w:b w:val="0"/>
                <w:sz w:val="18"/>
                <w:szCs w:val="18"/>
              </w:rPr>
              <w:t>(SNDMF), cuyo objetivo es detectar precozmente una eventual presencia de</w:t>
            </w:r>
            <w:r>
              <w:rPr>
                <w:rFonts w:ascii="Verdana" w:hAnsi="Verdana"/>
                <w:b w:val="0"/>
                <w:sz w:val="18"/>
                <w:szCs w:val="18"/>
              </w:rPr>
              <w:t xml:space="preserve"> </w:t>
            </w:r>
            <w:r w:rsidRPr="006724E2">
              <w:rPr>
                <w:rFonts w:ascii="Verdana" w:hAnsi="Verdana"/>
                <w:b w:val="0"/>
                <w:sz w:val="18"/>
                <w:szCs w:val="18"/>
              </w:rPr>
              <w:t>est</w:t>
            </w:r>
            <w:r>
              <w:rPr>
                <w:rFonts w:ascii="Verdana" w:hAnsi="Verdana"/>
                <w:b w:val="0"/>
                <w:sz w:val="18"/>
                <w:szCs w:val="18"/>
              </w:rPr>
              <w:t xml:space="preserve">a plaga en territorio nacional. </w:t>
            </w:r>
            <w:r w:rsidRPr="006724E2">
              <w:rPr>
                <w:rFonts w:ascii="Verdana" w:hAnsi="Verdana"/>
                <w:b w:val="0"/>
                <w:sz w:val="18"/>
                <w:szCs w:val="18"/>
              </w:rPr>
              <w:t>Frente a detecciones de ejemplares adultos o inmaduros de moscas de la fruta,</w:t>
            </w:r>
            <w:r>
              <w:rPr>
                <w:rFonts w:ascii="Verdana" w:hAnsi="Verdana"/>
                <w:b w:val="0"/>
                <w:sz w:val="18"/>
                <w:szCs w:val="18"/>
              </w:rPr>
              <w:t xml:space="preserve"> </w:t>
            </w:r>
            <w:r w:rsidRPr="006724E2">
              <w:rPr>
                <w:rFonts w:ascii="Verdana" w:hAnsi="Verdana"/>
                <w:b w:val="0"/>
                <w:sz w:val="18"/>
                <w:szCs w:val="18"/>
              </w:rPr>
              <w:t xml:space="preserve">la cual se entenderá por la especie </w:t>
            </w:r>
            <w:proofErr w:type="spellStart"/>
            <w:r w:rsidRPr="006724E2">
              <w:rPr>
                <w:rFonts w:ascii="Verdana" w:hAnsi="Verdana"/>
                <w:b w:val="0"/>
                <w:i/>
                <w:sz w:val="18"/>
                <w:szCs w:val="18"/>
              </w:rPr>
              <w:t>Ceratitis</w:t>
            </w:r>
            <w:proofErr w:type="spellEnd"/>
            <w:r w:rsidRPr="006724E2">
              <w:rPr>
                <w:rFonts w:ascii="Verdana" w:hAnsi="Verdana"/>
                <w:b w:val="0"/>
                <w:i/>
                <w:sz w:val="18"/>
                <w:szCs w:val="18"/>
              </w:rPr>
              <w:t xml:space="preserve"> </w:t>
            </w:r>
            <w:proofErr w:type="spellStart"/>
            <w:r w:rsidRPr="006724E2">
              <w:rPr>
                <w:rFonts w:ascii="Verdana" w:hAnsi="Verdana"/>
                <w:b w:val="0"/>
                <w:i/>
                <w:sz w:val="18"/>
                <w:szCs w:val="18"/>
              </w:rPr>
              <w:t>capitata</w:t>
            </w:r>
            <w:proofErr w:type="spellEnd"/>
            <w:r w:rsidRPr="006724E2">
              <w:rPr>
                <w:rFonts w:ascii="Verdana" w:hAnsi="Verdana"/>
                <w:b w:val="0"/>
                <w:sz w:val="18"/>
                <w:szCs w:val="18"/>
              </w:rPr>
              <w:t xml:space="preserve"> (</w:t>
            </w:r>
            <w:proofErr w:type="spellStart"/>
            <w:r w:rsidRPr="006724E2">
              <w:rPr>
                <w:rFonts w:ascii="Verdana" w:hAnsi="Verdana"/>
                <w:b w:val="0"/>
                <w:sz w:val="18"/>
                <w:szCs w:val="18"/>
              </w:rPr>
              <w:t>Wied</w:t>
            </w:r>
            <w:proofErr w:type="spellEnd"/>
            <w:r w:rsidRPr="006724E2">
              <w:rPr>
                <w:rFonts w:ascii="Verdana" w:hAnsi="Verdana"/>
                <w:b w:val="0"/>
                <w:sz w:val="18"/>
                <w:szCs w:val="18"/>
              </w:rPr>
              <w:t>), se pueden tener 2</w:t>
            </w:r>
            <w:r>
              <w:rPr>
                <w:rFonts w:ascii="Verdana" w:hAnsi="Verdana"/>
                <w:b w:val="0"/>
                <w:sz w:val="18"/>
                <w:szCs w:val="18"/>
              </w:rPr>
              <w:t xml:space="preserve"> </w:t>
            </w:r>
            <w:r w:rsidRPr="006724E2">
              <w:rPr>
                <w:rFonts w:ascii="Verdana" w:hAnsi="Verdana"/>
                <w:b w:val="0"/>
                <w:sz w:val="18"/>
                <w:szCs w:val="18"/>
              </w:rPr>
              <w:t>tipos de eventos: captura simple o brote.</w:t>
            </w:r>
          </w:p>
          <w:p w14:paraId="2F1C1C7B" w14:textId="77777777" w:rsidR="003C240B" w:rsidRDefault="003C240B" w:rsidP="0059613C">
            <w:pPr>
              <w:jc w:val="both"/>
              <w:rPr>
                <w:rFonts w:ascii="Verdana" w:hAnsi="Verdana"/>
                <w:b w:val="0"/>
                <w:sz w:val="18"/>
                <w:szCs w:val="18"/>
              </w:rPr>
            </w:pPr>
          </w:p>
          <w:p w14:paraId="647D6AEE" w14:textId="77777777" w:rsidR="003C240B" w:rsidRDefault="003C240B" w:rsidP="0059613C">
            <w:pPr>
              <w:jc w:val="both"/>
              <w:rPr>
                <w:rFonts w:ascii="Verdana" w:hAnsi="Verdana"/>
                <w:b w:val="0"/>
                <w:sz w:val="18"/>
                <w:szCs w:val="18"/>
              </w:rPr>
            </w:pPr>
            <w:r w:rsidRPr="006724E2">
              <w:rPr>
                <w:rFonts w:ascii="Verdana" w:hAnsi="Verdana"/>
                <w:b w:val="0"/>
                <w:sz w:val="18"/>
                <w:szCs w:val="18"/>
              </w:rPr>
              <w:t>Una captura simple se determina cuando la detección corresponde a un único</w:t>
            </w:r>
            <w:r>
              <w:rPr>
                <w:rFonts w:ascii="Verdana" w:hAnsi="Verdana"/>
                <w:b w:val="0"/>
                <w:sz w:val="18"/>
                <w:szCs w:val="18"/>
              </w:rPr>
              <w:t xml:space="preserve"> </w:t>
            </w:r>
            <w:r w:rsidRPr="006724E2">
              <w:rPr>
                <w:rFonts w:ascii="Verdana" w:hAnsi="Verdana"/>
                <w:b w:val="0"/>
                <w:sz w:val="18"/>
                <w:szCs w:val="18"/>
              </w:rPr>
              <w:t>ejemplar adulto macho o una única hembra no inseminada (Hembra no</w:t>
            </w:r>
            <w:r>
              <w:rPr>
                <w:rFonts w:ascii="Verdana" w:hAnsi="Verdana"/>
                <w:b w:val="0"/>
                <w:sz w:val="18"/>
                <w:szCs w:val="18"/>
              </w:rPr>
              <w:t xml:space="preserve"> </w:t>
            </w:r>
            <w:r w:rsidRPr="006724E2">
              <w:rPr>
                <w:rFonts w:ascii="Verdana" w:hAnsi="Verdana"/>
                <w:b w:val="0"/>
                <w:sz w:val="18"/>
                <w:szCs w:val="18"/>
              </w:rPr>
              <w:t xml:space="preserve">fertilizada por un macho). </w:t>
            </w:r>
          </w:p>
          <w:p w14:paraId="3A7C2668" w14:textId="77777777" w:rsidR="003C240B" w:rsidRDefault="003C240B" w:rsidP="0059613C">
            <w:pPr>
              <w:jc w:val="both"/>
              <w:rPr>
                <w:rFonts w:ascii="Verdana" w:hAnsi="Verdana"/>
                <w:b w:val="0"/>
                <w:sz w:val="18"/>
                <w:szCs w:val="18"/>
              </w:rPr>
            </w:pPr>
          </w:p>
          <w:p w14:paraId="47DA4231" w14:textId="55904505" w:rsidR="003C240B" w:rsidRDefault="003C240B" w:rsidP="0059613C">
            <w:pPr>
              <w:jc w:val="both"/>
              <w:rPr>
                <w:rFonts w:ascii="Verdana" w:hAnsi="Verdana"/>
                <w:b w:val="0"/>
                <w:sz w:val="18"/>
                <w:szCs w:val="18"/>
              </w:rPr>
            </w:pPr>
            <w:r w:rsidRPr="006724E2">
              <w:rPr>
                <w:rFonts w:ascii="Verdana" w:hAnsi="Verdana"/>
                <w:b w:val="0"/>
                <w:sz w:val="18"/>
                <w:szCs w:val="18"/>
              </w:rPr>
              <w:t>Un brote se determina cuando la detección consiste en</w:t>
            </w:r>
            <w:r w:rsidR="00C7251C">
              <w:rPr>
                <w:rFonts w:ascii="Verdana" w:hAnsi="Verdana"/>
                <w:b w:val="0"/>
                <w:sz w:val="18"/>
                <w:szCs w:val="18"/>
              </w:rPr>
              <w:t>,</w:t>
            </w:r>
            <w:r w:rsidRPr="006724E2">
              <w:rPr>
                <w:rFonts w:ascii="Verdana" w:hAnsi="Verdana"/>
                <w:b w:val="0"/>
                <w:sz w:val="18"/>
                <w:szCs w:val="18"/>
              </w:rPr>
              <w:t xml:space="preserve"> al menos</w:t>
            </w:r>
            <w:r w:rsidR="00C7251C">
              <w:rPr>
                <w:rFonts w:ascii="Verdana" w:hAnsi="Verdana"/>
                <w:b w:val="0"/>
                <w:sz w:val="18"/>
                <w:szCs w:val="18"/>
              </w:rPr>
              <w:t>,</w:t>
            </w:r>
            <w:r w:rsidRPr="006724E2">
              <w:rPr>
                <w:rFonts w:ascii="Verdana" w:hAnsi="Verdana"/>
                <w:b w:val="0"/>
                <w:sz w:val="18"/>
                <w:szCs w:val="18"/>
              </w:rPr>
              <w:t xml:space="preserve"> </w:t>
            </w:r>
            <w:r w:rsidR="00C7251C">
              <w:rPr>
                <w:rFonts w:ascii="Verdana" w:hAnsi="Verdana"/>
                <w:b w:val="0"/>
                <w:sz w:val="18"/>
                <w:szCs w:val="18"/>
              </w:rPr>
              <w:t>una</w:t>
            </w:r>
            <w:r w:rsidR="00C7251C" w:rsidRPr="006724E2">
              <w:rPr>
                <w:rFonts w:ascii="Verdana" w:hAnsi="Verdana"/>
                <w:b w:val="0"/>
                <w:sz w:val="18"/>
                <w:szCs w:val="18"/>
              </w:rPr>
              <w:t xml:space="preserve"> </w:t>
            </w:r>
            <w:r w:rsidRPr="006724E2">
              <w:rPr>
                <w:rFonts w:ascii="Verdana" w:hAnsi="Verdana"/>
                <w:b w:val="0"/>
                <w:sz w:val="18"/>
                <w:szCs w:val="18"/>
              </w:rPr>
              <w:t xml:space="preserve">de las </w:t>
            </w:r>
            <w:r w:rsidR="00C7251C">
              <w:rPr>
                <w:rFonts w:ascii="Verdana" w:hAnsi="Verdana"/>
                <w:b w:val="0"/>
                <w:sz w:val="18"/>
                <w:szCs w:val="18"/>
              </w:rPr>
              <w:t xml:space="preserve">tres </w:t>
            </w:r>
            <w:r w:rsidRPr="006724E2">
              <w:rPr>
                <w:rFonts w:ascii="Verdana" w:hAnsi="Verdana"/>
                <w:b w:val="0"/>
                <w:sz w:val="18"/>
                <w:szCs w:val="18"/>
              </w:rPr>
              <w:t>siguientes situaciones:</w:t>
            </w:r>
          </w:p>
          <w:p w14:paraId="1B2A268C" w14:textId="77777777" w:rsidR="003C240B" w:rsidRPr="006724E2" w:rsidRDefault="003C240B" w:rsidP="0059613C">
            <w:pPr>
              <w:jc w:val="both"/>
              <w:rPr>
                <w:rFonts w:ascii="Verdana" w:hAnsi="Verdana"/>
                <w:b w:val="0"/>
                <w:sz w:val="18"/>
                <w:szCs w:val="18"/>
              </w:rPr>
            </w:pPr>
          </w:p>
          <w:p w14:paraId="3B158D0B" w14:textId="77777777" w:rsidR="003C240B" w:rsidRPr="006724E2" w:rsidRDefault="003C240B" w:rsidP="0059613C">
            <w:pPr>
              <w:jc w:val="both"/>
              <w:rPr>
                <w:rFonts w:ascii="Verdana" w:hAnsi="Verdana"/>
                <w:b w:val="0"/>
                <w:sz w:val="18"/>
                <w:szCs w:val="18"/>
              </w:rPr>
            </w:pPr>
            <w:r w:rsidRPr="006724E2">
              <w:rPr>
                <w:rFonts w:ascii="Verdana" w:hAnsi="Verdana"/>
                <w:b w:val="0"/>
                <w:sz w:val="18"/>
                <w:szCs w:val="18"/>
              </w:rPr>
              <w:t xml:space="preserve">1. Más de un ejemplar adulto de moscas de </w:t>
            </w:r>
            <w:r>
              <w:rPr>
                <w:rFonts w:ascii="Verdana" w:hAnsi="Verdana"/>
                <w:b w:val="0"/>
                <w:sz w:val="18"/>
                <w:szCs w:val="18"/>
              </w:rPr>
              <w:t xml:space="preserve">la fruta (ej. 2 ejemplares </w:t>
            </w:r>
            <w:r w:rsidRPr="006724E2">
              <w:rPr>
                <w:rFonts w:ascii="Verdana" w:hAnsi="Verdana"/>
                <w:b w:val="0"/>
                <w:sz w:val="18"/>
                <w:szCs w:val="18"/>
              </w:rPr>
              <w:t>adultos de Mosca del Mediterráneo) en un radio de 2,25 kilómetros.</w:t>
            </w:r>
          </w:p>
          <w:p w14:paraId="44D0C413" w14:textId="77777777" w:rsidR="003C240B" w:rsidRPr="006724E2" w:rsidRDefault="003C240B" w:rsidP="0059613C">
            <w:pPr>
              <w:jc w:val="both"/>
              <w:rPr>
                <w:rFonts w:ascii="Verdana" w:hAnsi="Verdana"/>
                <w:b w:val="0"/>
                <w:sz w:val="18"/>
                <w:szCs w:val="18"/>
              </w:rPr>
            </w:pPr>
            <w:r w:rsidRPr="006724E2">
              <w:rPr>
                <w:rFonts w:ascii="Verdana" w:hAnsi="Verdana"/>
                <w:b w:val="0"/>
                <w:sz w:val="18"/>
                <w:szCs w:val="18"/>
              </w:rPr>
              <w:t>2. Un ejemplar hembra adulta inseminada (fertilizada por un macho).</w:t>
            </w:r>
          </w:p>
          <w:p w14:paraId="17FEE805" w14:textId="77777777" w:rsidR="003C240B" w:rsidRDefault="003C240B" w:rsidP="0059613C">
            <w:pPr>
              <w:jc w:val="both"/>
              <w:rPr>
                <w:rFonts w:ascii="Verdana" w:hAnsi="Verdana"/>
                <w:b w:val="0"/>
                <w:sz w:val="18"/>
                <w:szCs w:val="18"/>
              </w:rPr>
            </w:pPr>
            <w:r w:rsidRPr="006724E2">
              <w:rPr>
                <w:rFonts w:ascii="Verdana" w:hAnsi="Verdana"/>
                <w:b w:val="0"/>
                <w:sz w:val="18"/>
                <w:szCs w:val="18"/>
              </w:rPr>
              <w:t>3. Estados inmaduros (huevos, larvas o pupas).</w:t>
            </w:r>
          </w:p>
          <w:p w14:paraId="2917B680" w14:textId="77777777" w:rsidR="003C240B" w:rsidRDefault="003C240B" w:rsidP="0059613C">
            <w:pPr>
              <w:jc w:val="both"/>
              <w:rPr>
                <w:rFonts w:ascii="Verdana" w:hAnsi="Verdana"/>
                <w:sz w:val="18"/>
                <w:szCs w:val="18"/>
              </w:rPr>
            </w:pPr>
          </w:p>
          <w:p w14:paraId="0DC10633" w14:textId="17CAFACB" w:rsidR="003C240B" w:rsidRDefault="003C240B" w:rsidP="0059613C">
            <w:pPr>
              <w:jc w:val="both"/>
              <w:rPr>
                <w:rFonts w:ascii="Verdana" w:hAnsi="Verdana"/>
                <w:b w:val="0"/>
                <w:sz w:val="18"/>
                <w:szCs w:val="18"/>
              </w:rPr>
            </w:pPr>
            <w:r>
              <w:rPr>
                <w:rFonts w:ascii="Verdana" w:hAnsi="Verdana"/>
                <w:b w:val="0"/>
                <w:sz w:val="18"/>
                <w:szCs w:val="18"/>
              </w:rPr>
              <w:t xml:space="preserve">En 2019 se abordaron </w:t>
            </w:r>
            <w:r w:rsidRPr="00796279">
              <w:rPr>
                <w:rFonts w:ascii="Verdana" w:hAnsi="Verdana"/>
                <w:b w:val="0"/>
                <w:sz w:val="18"/>
                <w:szCs w:val="18"/>
              </w:rPr>
              <w:t xml:space="preserve">26 eventos de mosca </w:t>
            </w:r>
            <w:r>
              <w:rPr>
                <w:rFonts w:ascii="Verdana" w:hAnsi="Verdana"/>
                <w:b w:val="0"/>
                <w:sz w:val="18"/>
                <w:szCs w:val="18"/>
              </w:rPr>
              <w:t xml:space="preserve">los </w:t>
            </w:r>
            <w:r w:rsidR="00C7251C">
              <w:rPr>
                <w:rFonts w:ascii="Verdana" w:hAnsi="Verdana"/>
                <w:b w:val="0"/>
                <w:sz w:val="18"/>
                <w:szCs w:val="18"/>
              </w:rPr>
              <w:t xml:space="preserve">que </w:t>
            </w:r>
            <w:r>
              <w:rPr>
                <w:rFonts w:ascii="Verdana" w:hAnsi="Verdana"/>
                <w:b w:val="0"/>
                <w:sz w:val="18"/>
                <w:szCs w:val="18"/>
              </w:rPr>
              <w:t xml:space="preserve">fueron </w:t>
            </w:r>
            <w:r w:rsidRPr="00796279">
              <w:rPr>
                <w:rFonts w:ascii="Verdana" w:hAnsi="Verdana"/>
                <w:b w:val="0"/>
                <w:sz w:val="18"/>
                <w:szCs w:val="18"/>
              </w:rPr>
              <w:t>eliminados</w:t>
            </w:r>
            <w:r>
              <w:rPr>
                <w:rFonts w:ascii="Verdana" w:hAnsi="Verdana"/>
                <w:b w:val="0"/>
                <w:sz w:val="18"/>
                <w:szCs w:val="18"/>
              </w:rPr>
              <w:t xml:space="preserve"> y/o erradicados durante el año, lo que permitió </w:t>
            </w:r>
            <w:r w:rsidRPr="00796279">
              <w:rPr>
                <w:rFonts w:ascii="Verdana" w:hAnsi="Verdana"/>
                <w:b w:val="0"/>
                <w:sz w:val="18"/>
                <w:szCs w:val="18"/>
              </w:rPr>
              <w:t>cumpli</w:t>
            </w:r>
            <w:r>
              <w:rPr>
                <w:rFonts w:ascii="Verdana" w:hAnsi="Verdana"/>
                <w:b w:val="0"/>
                <w:sz w:val="18"/>
                <w:szCs w:val="18"/>
              </w:rPr>
              <w:t>r en un</w:t>
            </w:r>
            <w:r w:rsidRPr="00796279">
              <w:rPr>
                <w:rFonts w:ascii="Verdana" w:hAnsi="Verdana"/>
                <w:b w:val="0"/>
                <w:sz w:val="18"/>
                <w:szCs w:val="18"/>
              </w:rPr>
              <w:t xml:space="preserve"> 100% de la meta</w:t>
            </w:r>
            <w:r>
              <w:rPr>
                <w:rFonts w:ascii="Verdana" w:hAnsi="Verdana"/>
                <w:b w:val="0"/>
                <w:sz w:val="18"/>
                <w:szCs w:val="18"/>
              </w:rPr>
              <w:t xml:space="preserve"> de este indicador. Estos eventos consistieron en </w:t>
            </w:r>
            <w:r w:rsidRPr="00796279">
              <w:rPr>
                <w:rFonts w:ascii="Verdana" w:hAnsi="Verdana"/>
                <w:b w:val="0"/>
                <w:sz w:val="18"/>
                <w:szCs w:val="18"/>
              </w:rPr>
              <w:t xml:space="preserve">21 capturas simples detectadas y eliminadas en las regiones de Arica y Parinacota (2), Tarapacá (5), Antofagasta (1), Valparaíso (5), </w:t>
            </w:r>
            <w:r>
              <w:rPr>
                <w:rFonts w:ascii="Verdana" w:hAnsi="Verdana"/>
                <w:b w:val="0"/>
                <w:sz w:val="18"/>
                <w:szCs w:val="18"/>
              </w:rPr>
              <w:t>Metropolitana</w:t>
            </w:r>
            <w:r w:rsidRPr="00796279">
              <w:rPr>
                <w:rFonts w:ascii="Verdana" w:hAnsi="Verdana"/>
                <w:b w:val="0"/>
                <w:sz w:val="18"/>
                <w:szCs w:val="18"/>
              </w:rPr>
              <w:t xml:space="preserve"> (7) y Los Ríos (1); y 5 brotes erradicados en las re</w:t>
            </w:r>
            <w:r>
              <w:rPr>
                <w:rFonts w:ascii="Verdana" w:hAnsi="Verdana"/>
                <w:b w:val="0"/>
                <w:sz w:val="18"/>
                <w:szCs w:val="18"/>
              </w:rPr>
              <w:t>giones de Tarapacá (2) y Metropolitana (3).</w:t>
            </w:r>
            <w:r w:rsidRPr="00796279">
              <w:rPr>
                <w:rFonts w:ascii="Verdana" w:hAnsi="Verdana"/>
                <w:b w:val="0"/>
                <w:sz w:val="18"/>
                <w:szCs w:val="18"/>
              </w:rPr>
              <w:t xml:space="preserve"> </w:t>
            </w:r>
            <w:r>
              <w:rPr>
                <w:rFonts w:ascii="Verdana" w:hAnsi="Verdana"/>
                <w:b w:val="0"/>
                <w:sz w:val="18"/>
                <w:szCs w:val="18"/>
              </w:rPr>
              <w:t>R</w:t>
            </w:r>
            <w:r w:rsidRPr="001B276C">
              <w:rPr>
                <w:rFonts w:ascii="Verdana" w:hAnsi="Verdana"/>
                <w:b w:val="0"/>
                <w:sz w:val="18"/>
                <w:szCs w:val="18"/>
              </w:rPr>
              <w:t>especto a años anteriores</w:t>
            </w:r>
            <w:r>
              <w:rPr>
                <w:rFonts w:ascii="Verdana" w:hAnsi="Verdana"/>
                <w:b w:val="0"/>
                <w:sz w:val="18"/>
                <w:szCs w:val="18"/>
              </w:rPr>
              <w:t>,</w:t>
            </w:r>
            <w:r w:rsidRPr="001B276C">
              <w:rPr>
                <w:rFonts w:ascii="Verdana" w:hAnsi="Verdana"/>
                <w:b w:val="0"/>
                <w:sz w:val="18"/>
                <w:szCs w:val="18"/>
              </w:rPr>
              <w:t xml:space="preserve"> </w:t>
            </w:r>
            <w:r>
              <w:rPr>
                <w:rFonts w:ascii="Verdana" w:hAnsi="Verdana"/>
                <w:b w:val="0"/>
                <w:sz w:val="18"/>
                <w:szCs w:val="18"/>
              </w:rPr>
              <w:t xml:space="preserve">hubo un aumento de </w:t>
            </w:r>
            <w:r w:rsidRPr="001B276C">
              <w:rPr>
                <w:rFonts w:ascii="Verdana" w:hAnsi="Verdana"/>
                <w:b w:val="0"/>
                <w:sz w:val="18"/>
                <w:szCs w:val="18"/>
              </w:rPr>
              <w:t>eventos presentándose brotes extensos en la Región Metropolitana que, además de implicar una alta carga de trabajo continuo durante el año, demandaron también una alta cantidad de recursos para finalmente cumplir con la erradicación.</w:t>
            </w:r>
          </w:p>
          <w:p w14:paraId="411780C2" w14:textId="77777777" w:rsidR="003C240B" w:rsidRDefault="003C240B" w:rsidP="0059613C">
            <w:pPr>
              <w:jc w:val="both"/>
              <w:rPr>
                <w:rFonts w:ascii="Verdana" w:hAnsi="Verdana"/>
                <w:b w:val="0"/>
                <w:sz w:val="18"/>
                <w:szCs w:val="18"/>
              </w:rPr>
            </w:pPr>
          </w:p>
          <w:p w14:paraId="3DB36F17" w14:textId="77777777" w:rsidR="003C240B" w:rsidRDefault="003C240B" w:rsidP="0059613C">
            <w:pPr>
              <w:jc w:val="both"/>
              <w:rPr>
                <w:rFonts w:ascii="Verdana" w:hAnsi="Verdana"/>
                <w:sz w:val="18"/>
                <w:szCs w:val="18"/>
              </w:rPr>
            </w:pPr>
            <w:r w:rsidRPr="00796279">
              <w:rPr>
                <w:rFonts w:ascii="Verdana" w:hAnsi="Verdana"/>
                <w:b w:val="0"/>
                <w:sz w:val="18"/>
                <w:szCs w:val="18"/>
              </w:rPr>
              <w:t>El indicador vigente contabiliza eventos de mosca de la fruta ocurridos este año cuya última captura de adulto o detección de estado inmaduro ocurra hasta el 31 de marzo de 2019, más los eventos no terminados de abril a diciembre del año anterior cuya última captura o detección de ejemplares ocurra hasta el 31 de marzo de 2019</w:t>
            </w:r>
            <w:r w:rsidRPr="001C4CA4">
              <w:rPr>
                <w:rFonts w:ascii="Verdana" w:hAnsi="Verdana"/>
                <w:sz w:val="18"/>
                <w:szCs w:val="18"/>
              </w:rPr>
              <w:t xml:space="preserve">. </w:t>
            </w:r>
          </w:p>
          <w:p w14:paraId="27B98C50" w14:textId="77777777" w:rsidR="0059613C" w:rsidRDefault="0059613C" w:rsidP="0059613C">
            <w:pPr>
              <w:jc w:val="both"/>
              <w:rPr>
                <w:rFonts w:ascii="Verdana" w:hAnsi="Verdana"/>
                <w:sz w:val="18"/>
                <w:szCs w:val="18"/>
              </w:rPr>
            </w:pPr>
          </w:p>
          <w:p w14:paraId="1448B36E" w14:textId="77777777" w:rsidR="003C240B" w:rsidRDefault="003C240B" w:rsidP="0059613C">
            <w:pPr>
              <w:jc w:val="both"/>
              <w:rPr>
                <w:rFonts w:ascii="Verdana" w:hAnsi="Verdana"/>
                <w:b w:val="0"/>
                <w:sz w:val="18"/>
                <w:szCs w:val="18"/>
              </w:rPr>
            </w:pPr>
            <w:r w:rsidRPr="00796279">
              <w:rPr>
                <w:rFonts w:ascii="Verdana" w:hAnsi="Verdana"/>
                <w:b w:val="0"/>
                <w:sz w:val="18"/>
                <w:szCs w:val="18"/>
              </w:rPr>
              <w:lastRenderedPageBreak/>
              <w:t xml:space="preserve">No obstante, el cumplimiento de estas condiciones sólo se puede verificar al momento de terminar un evento, ya que, por tratarse de entidades biológicas, la fecha de última captura o detección de estado inmaduro puede ir avanzando y sobrepasar la fecha límite estipulada (31 de marzo) si las condiciones </w:t>
            </w:r>
            <w:r w:rsidRPr="00CB18E1">
              <w:rPr>
                <w:rFonts w:ascii="Verdana" w:hAnsi="Verdana"/>
                <w:b w:val="0"/>
                <w:sz w:val="18"/>
                <w:szCs w:val="18"/>
              </w:rPr>
              <w:t>ambie</w:t>
            </w:r>
            <w:r>
              <w:rPr>
                <w:rFonts w:ascii="Verdana" w:hAnsi="Verdana"/>
                <w:b w:val="0"/>
                <w:sz w:val="18"/>
                <w:szCs w:val="18"/>
              </w:rPr>
              <w:t xml:space="preserve">ntales u otras así lo permiten. </w:t>
            </w:r>
            <w:r w:rsidRPr="00796279">
              <w:rPr>
                <w:rFonts w:ascii="Verdana" w:hAnsi="Verdana"/>
                <w:b w:val="0"/>
                <w:sz w:val="18"/>
                <w:szCs w:val="18"/>
              </w:rPr>
              <w:t xml:space="preserve">Es lo ocurrido para el caso de </w:t>
            </w:r>
            <w:r>
              <w:rPr>
                <w:rFonts w:ascii="Verdana" w:hAnsi="Verdana"/>
                <w:b w:val="0"/>
                <w:sz w:val="18"/>
                <w:szCs w:val="18"/>
              </w:rPr>
              <w:t>una</w:t>
            </w:r>
            <w:r w:rsidRPr="00796279">
              <w:rPr>
                <w:rFonts w:ascii="Verdana" w:hAnsi="Verdana"/>
                <w:b w:val="0"/>
                <w:sz w:val="18"/>
                <w:szCs w:val="18"/>
              </w:rPr>
              <w:t xml:space="preserve"> detección en la Región del Los Ríos en marzo de 2018 que finalizó en enero de 2019</w:t>
            </w:r>
            <w:r>
              <w:rPr>
                <w:rFonts w:ascii="Verdana" w:hAnsi="Verdana"/>
                <w:b w:val="0"/>
                <w:sz w:val="18"/>
                <w:szCs w:val="18"/>
              </w:rPr>
              <w:t>, la cual no terminó dentro de 2018</w:t>
            </w:r>
            <w:r w:rsidRPr="00BE4472">
              <w:rPr>
                <w:rFonts w:ascii="Verdana" w:hAnsi="Verdana"/>
                <w:b w:val="0"/>
                <w:sz w:val="18"/>
                <w:szCs w:val="18"/>
              </w:rPr>
              <w:t>, dadas las particulares condiciones climáticas de la zona donde ocurrió esta captura simple (</w:t>
            </w:r>
            <w:proofErr w:type="spellStart"/>
            <w:r w:rsidRPr="00BE4472">
              <w:rPr>
                <w:rFonts w:ascii="Verdana" w:hAnsi="Verdana"/>
                <w:b w:val="0"/>
                <w:sz w:val="18"/>
                <w:szCs w:val="18"/>
              </w:rPr>
              <w:t>Futrono-Llifen</w:t>
            </w:r>
            <w:proofErr w:type="spellEnd"/>
            <w:r w:rsidRPr="00BE4472">
              <w:rPr>
                <w:rFonts w:ascii="Verdana" w:hAnsi="Verdana"/>
                <w:b w:val="0"/>
                <w:sz w:val="18"/>
                <w:szCs w:val="18"/>
              </w:rPr>
              <w:t>).</w:t>
            </w:r>
          </w:p>
          <w:p w14:paraId="441838AF" w14:textId="77777777" w:rsidR="0059613C" w:rsidRPr="00BE4472" w:rsidRDefault="0059613C" w:rsidP="0059613C">
            <w:pPr>
              <w:jc w:val="both"/>
              <w:rPr>
                <w:rFonts w:ascii="Verdana" w:hAnsi="Verdana"/>
                <w:b w:val="0"/>
                <w:sz w:val="18"/>
                <w:szCs w:val="18"/>
              </w:rPr>
            </w:pPr>
          </w:p>
          <w:p w14:paraId="7043747A" w14:textId="77777777" w:rsidR="003C240B" w:rsidRDefault="003C240B" w:rsidP="0059613C">
            <w:pPr>
              <w:jc w:val="both"/>
              <w:rPr>
                <w:rFonts w:ascii="Verdana" w:hAnsi="Verdana"/>
                <w:b w:val="0"/>
                <w:sz w:val="18"/>
                <w:szCs w:val="18"/>
              </w:rPr>
            </w:pPr>
            <w:r w:rsidRPr="00CB18E1">
              <w:rPr>
                <w:rFonts w:ascii="Verdana" w:hAnsi="Verdana"/>
                <w:b w:val="0"/>
                <w:sz w:val="18"/>
                <w:szCs w:val="18"/>
              </w:rPr>
              <w:t xml:space="preserve">Cuando se produce un brote por </w:t>
            </w:r>
            <w:proofErr w:type="spellStart"/>
            <w:r w:rsidRPr="0008198B">
              <w:rPr>
                <w:rFonts w:ascii="Verdana" w:hAnsi="Verdana"/>
                <w:b w:val="0"/>
                <w:i/>
                <w:sz w:val="18"/>
                <w:szCs w:val="18"/>
              </w:rPr>
              <w:t>Ceratitis</w:t>
            </w:r>
            <w:proofErr w:type="spellEnd"/>
            <w:r w:rsidRPr="0008198B">
              <w:rPr>
                <w:rFonts w:ascii="Verdana" w:hAnsi="Verdana"/>
                <w:b w:val="0"/>
                <w:i/>
                <w:sz w:val="18"/>
                <w:szCs w:val="18"/>
              </w:rPr>
              <w:t xml:space="preserve"> </w:t>
            </w:r>
            <w:proofErr w:type="spellStart"/>
            <w:r w:rsidRPr="0008198B">
              <w:rPr>
                <w:rFonts w:ascii="Verdana" w:hAnsi="Verdana"/>
                <w:b w:val="0"/>
                <w:i/>
                <w:sz w:val="18"/>
                <w:szCs w:val="18"/>
              </w:rPr>
              <w:t>capitata</w:t>
            </w:r>
            <w:proofErr w:type="spellEnd"/>
            <w:r w:rsidRPr="00CB18E1">
              <w:rPr>
                <w:rFonts w:ascii="Verdana" w:hAnsi="Verdana"/>
                <w:b w:val="0"/>
                <w:sz w:val="18"/>
                <w:szCs w:val="18"/>
              </w:rPr>
              <w:t xml:space="preserve"> el SAG activa su plan </w:t>
            </w:r>
            <w:proofErr w:type="spellStart"/>
            <w:r w:rsidRPr="00CB18E1">
              <w:rPr>
                <w:rFonts w:ascii="Verdana" w:hAnsi="Verdana"/>
                <w:b w:val="0"/>
                <w:sz w:val="18"/>
                <w:szCs w:val="18"/>
              </w:rPr>
              <w:t>emergencial</w:t>
            </w:r>
            <w:proofErr w:type="spellEnd"/>
            <w:r w:rsidRPr="00CB18E1">
              <w:rPr>
                <w:rFonts w:ascii="Verdana" w:hAnsi="Verdana"/>
                <w:b w:val="0"/>
                <w:sz w:val="18"/>
                <w:szCs w:val="18"/>
              </w:rPr>
              <w:t>, realizando una serie de trabajos en terreno tendientes a determinar las áreas de dispersión de la plaga y el nivel de infestación de las especies frutales que pudiera estar afectando. De acuerdo a esta información</w:t>
            </w:r>
            <w:r w:rsidR="00C7251C">
              <w:rPr>
                <w:rFonts w:ascii="Verdana" w:hAnsi="Verdana"/>
                <w:b w:val="0"/>
                <w:sz w:val="18"/>
                <w:szCs w:val="18"/>
              </w:rPr>
              <w:t>,</w:t>
            </w:r>
            <w:r w:rsidRPr="00CB18E1">
              <w:rPr>
                <w:rFonts w:ascii="Verdana" w:hAnsi="Verdana"/>
                <w:b w:val="0"/>
                <w:sz w:val="18"/>
                <w:szCs w:val="18"/>
              </w:rPr>
              <w:t xml:space="preserve"> se van definiendo las estrategias técnicas de erradicación que sean más adecuadas y eficaces para eliminar la plaga en el menor plazo posible. Esto implica la ejecución de actividades de reforzamiento intensivo, que permiten la detección de los individuos en estado adulto como de los estados inmaduros de la plaga.</w:t>
            </w:r>
          </w:p>
          <w:p w14:paraId="66D86387" w14:textId="77777777" w:rsidR="0059613C" w:rsidRPr="00CB18E1" w:rsidRDefault="0059613C" w:rsidP="0059613C">
            <w:pPr>
              <w:jc w:val="both"/>
              <w:rPr>
                <w:rFonts w:ascii="Verdana" w:hAnsi="Verdana"/>
                <w:b w:val="0"/>
                <w:sz w:val="18"/>
                <w:szCs w:val="18"/>
              </w:rPr>
            </w:pPr>
          </w:p>
          <w:p w14:paraId="166F31F3" w14:textId="77777777" w:rsidR="003C240B" w:rsidRDefault="003C240B" w:rsidP="0059613C">
            <w:pPr>
              <w:jc w:val="both"/>
              <w:rPr>
                <w:rFonts w:ascii="Verdana" w:hAnsi="Verdana"/>
                <w:b w:val="0"/>
                <w:sz w:val="18"/>
                <w:szCs w:val="18"/>
              </w:rPr>
            </w:pPr>
            <w:r w:rsidRPr="00CB18E1">
              <w:rPr>
                <w:rFonts w:ascii="Verdana" w:hAnsi="Verdana"/>
                <w:b w:val="0"/>
                <w:sz w:val="18"/>
                <w:szCs w:val="18"/>
              </w:rPr>
              <w:t>De manera sistemática y en un corto periodo de tiempo, se aumenta la densidad de las trampas específicas para la detección y el monitoreo de la plaga en el área donde se está produciendo el brote, con la finalidad de que los adultos que estén volando producto del brote sean detectados de manera oportuna. Las trampas se revisan 2 veces a la semana con el objetivo de mantener un detallado control del estado del brote en terreno.</w:t>
            </w:r>
          </w:p>
          <w:p w14:paraId="42DBED13" w14:textId="77777777" w:rsidR="0059613C" w:rsidRPr="00CB18E1" w:rsidRDefault="0059613C" w:rsidP="0059613C">
            <w:pPr>
              <w:jc w:val="both"/>
              <w:rPr>
                <w:rFonts w:ascii="Verdana" w:hAnsi="Verdana"/>
                <w:b w:val="0"/>
                <w:sz w:val="18"/>
                <w:szCs w:val="18"/>
              </w:rPr>
            </w:pPr>
          </w:p>
          <w:p w14:paraId="0A22DBC8" w14:textId="77777777" w:rsidR="003C240B" w:rsidRDefault="003C240B" w:rsidP="0059613C">
            <w:pPr>
              <w:jc w:val="both"/>
              <w:rPr>
                <w:rFonts w:ascii="Verdana" w:hAnsi="Verdana"/>
                <w:b w:val="0"/>
                <w:sz w:val="18"/>
                <w:szCs w:val="18"/>
              </w:rPr>
            </w:pPr>
            <w:r w:rsidRPr="00CB18E1">
              <w:rPr>
                <w:rFonts w:ascii="Verdana" w:hAnsi="Verdana"/>
                <w:b w:val="0"/>
                <w:sz w:val="18"/>
                <w:szCs w:val="18"/>
              </w:rPr>
              <w:t xml:space="preserve">Así también, de forma sistemática y en las áreas determinadas por </w:t>
            </w:r>
            <w:r w:rsidR="00C7251C">
              <w:rPr>
                <w:rFonts w:ascii="Verdana" w:hAnsi="Verdana"/>
                <w:b w:val="0"/>
                <w:sz w:val="18"/>
                <w:szCs w:val="18"/>
              </w:rPr>
              <w:t xml:space="preserve">el </w:t>
            </w:r>
            <w:r w:rsidRPr="00CB18E1">
              <w:rPr>
                <w:rFonts w:ascii="Verdana" w:hAnsi="Verdana"/>
                <w:b w:val="0"/>
                <w:sz w:val="18"/>
                <w:szCs w:val="18"/>
              </w:rPr>
              <w:t>SAG donde ocurre el brote, se realiza censo frutal y toma de muestras de frutas dentro de propiedades particulares y también en lugares públicos donde exista fruta potencialmente infectable por la plaga. Esto con el objetivo de detectar los estados inmaduros de la plaga.</w:t>
            </w:r>
          </w:p>
          <w:p w14:paraId="76562E04" w14:textId="77777777" w:rsidR="0059613C" w:rsidRPr="00CB18E1" w:rsidRDefault="0059613C" w:rsidP="0059613C">
            <w:pPr>
              <w:jc w:val="both"/>
              <w:rPr>
                <w:rFonts w:ascii="Verdana" w:hAnsi="Verdana"/>
                <w:b w:val="0"/>
                <w:sz w:val="18"/>
                <w:szCs w:val="18"/>
              </w:rPr>
            </w:pPr>
          </w:p>
          <w:p w14:paraId="63304FA7" w14:textId="37DDF094" w:rsidR="003C240B" w:rsidRDefault="003C240B" w:rsidP="0059613C">
            <w:pPr>
              <w:jc w:val="both"/>
              <w:rPr>
                <w:rFonts w:ascii="Verdana" w:hAnsi="Verdana"/>
                <w:b w:val="0"/>
                <w:sz w:val="18"/>
                <w:szCs w:val="18"/>
              </w:rPr>
            </w:pPr>
            <w:r w:rsidRPr="00CB18E1">
              <w:rPr>
                <w:rFonts w:ascii="Verdana" w:hAnsi="Verdana"/>
                <w:b w:val="0"/>
                <w:sz w:val="18"/>
                <w:szCs w:val="18"/>
              </w:rPr>
              <w:t xml:space="preserve">Para la erradicación del insecto se ejecutan acciones de control cultural, biológico y químico de la plaga. Estas medidas fitosanitarias establecidas y ejecutadas por el Servicio, implican la aplicación de productos específicos para eliminar estados inmaduros que pudiesen estar en el suelo (como pupas), así como también el manejo cultural a través de la descarga de la fruta de especies susceptibles de ser afectadas y su posterior enterramiento (para eliminar larvas en la fruta), así como también aplicación de cebos para eliminar adultos de la plaga que se encuentren volando en las áreas donde se produce el brote. En caso requerido y como apoyo al proceso de erradicación, se realizan liberaciones de machos adultos estériles de la especie </w:t>
            </w:r>
            <w:proofErr w:type="spellStart"/>
            <w:r w:rsidRPr="00CD36BA">
              <w:rPr>
                <w:rFonts w:ascii="Verdana" w:hAnsi="Verdana"/>
                <w:b w:val="0"/>
                <w:i/>
                <w:sz w:val="18"/>
                <w:szCs w:val="18"/>
              </w:rPr>
              <w:t>Ceratitis</w:t>
            </w:r>
            <w:proofErr w:type="spellEnd"/>
            <w:r w:rsidRPr="00CD36BA">
              <w:rPr>
                <w:rFonts w:ascii="Verdana" w:hAnsi="Verdana"/>
                <w:b w:val="0"/>
                <w:i/>
                <w:sz w:val="18"/>
                <w:szCs w:val="18"/>
              </w:rPr>
              <w:t xml:space="preserve"> </w:t>
            </w:r>
            <w:proofErr w:type="spellStart"/>
            <w:r w:rsidRPr="00CD36BA">
              <w:rPr>
                <w:rFonts w:ascii="Verdana" w:hAnsi="Verdana"/>
                <w:b w:val="0"/>
                <w:i/>
                <w:sz w:val="18"/>
                <w:szCs w:val="18"/>
              </w:rPr>
              <w:t>capitata</w:t>
            </w:r>
            <w:proofErr w:type="spellEnd"/>
            <w:r w:rsidRPr="00CD36BA">
              <w:rPr>
                <w:rFonts w:ascii="Verdana" w:hAnsi="Verdana"/>
                <w:b w:val="0"/>
                <w:i/>
                <w:sz w:val="18"/>
                <w:szCs w:val="18"/>
              </w:rPr>
              <w:t>,</w:t>
            </w:r>
            <w:r w:rsidRPr="00CB18E1">
              <w:rPr>
                <w:rFonts w:ascii="Verdana" w:hAnsi="Verdana"/>
                <w:b w:val="0"/>
                <w:sz w:val="18"/>
                <w:szCs w:val="18"/>
              </w:rPr>
              <w:t xml:space="preserve"> cuyo propósito es que puedan copular con las hembras </w:t>
            </w:r>
            <w:r w:rsidR="008C674F">
              <w:rPr>
                <w:rFonts w:ascii="Verdana" w:hAnsi="Verdana"/>
                <w:b w:val="0"/>
                <w:sz w:val="18"/>
                <w:szCs w:val="18"/>
              </w:rPr>
              <w:t>férti</w:t>
            </w:r>
            <w:r w:rsidRPr="00CB18E1">
              <w:rPr>
                <w:rFonts w:ascii="Verdana" w:hAnsi="Verdana"/>
                <w:b w:val="0"/>
                <w:sz w:val="18"/>
                <w:szCs w:val="18"/>
              </w:rPr>
              <w:t xml:space="preserve">les que se encuentren en el área del brote y </w:t>
            </w:r>
            <w:r w:rsidR="00933ACB">
              <w:rPr>
                <w:rFonts w:ascii="Verdana" w:hAnsi="Verdana"/>
                <w:b w:val="0"/>
                <w:sz w:val="18"/>
                <w:szCs w:val="18"/>
              </w:rPr>
              <w:t xml:space="preserve">que por la condición de estéril del macho no haya </w:t>
            </w:r>
            <w:r w:rsidRPr="00CB18E1">
              <w:rPr>
                <w:rFonts w:ascii="Verdana" w:hAnsi="Verdana"/>
                <w:b w:val="0"/>
                <w:sz w:val="18"/>
                <w:szCs w:val="18"/>
              </w:rPr>
              <w:t xml:space="preserve">progenie </w:t>
            </w:r>
            <w:r w:rsidR="00933ACB">
              <w:rPr>
                <w:rFonts w:ascii="Verdana" w:hAnsi="Verdana"/>
                <w:b w:val="0"/>
                <w:sz w:val="18"/>
                <w:szCs w:val="18"/>
              </w:rPr>
              <w:t>o descendencia, interrumpiendo así el ciclo de reproducción, haciendo q</w:t>
            </w:r>
            <w:r w:rsidRPr="00CB18E1">
              <w:rPr>
                <w:rFonts w:ascii="Verdana" w:hAnsi="Verdana"/>
                <w:b w:val="0"/>
                <w:sz w:val="18"/>
                <w:szCs w:val="18"/>
              </w:rPr>
              <w:t>ue la población de la p</w:t>
            </w:r>
            <w:r>
              <w:rPr>
                <w:rFonts w:ascii="Verdana" w:hAnsi="Verdana"/>
                <w:b w:val="0"/>
                <w:sz w:val="18"/>
                <w:szCs w:val="18"/>
              </w:rPr>
              <w:t>laga disminuya sustancialmente.</w:t>
            </w:r>
          </w:p>
          <w:p w14:paraId="4F6CB1C7" w14:textId="77777777" w:rsidR="0059613C" w:rsidRPr="008959D5" w:rsidRDefault="0059613C" w:rsidP="0059613C">
            <w:pPr>
              <w:jc w:val="both"/>
              <w:rPr>
                <w:rFonts w:ascii="Verdana" w:hAnsi="Verdana"/>
                <w:b w:val="0"/>
                <w:sz w:val="18"/>
                <w:szCs w:val="18"/>
              </w:rPr>
            </w:pPr>
          </w:p>
          <w:p w14:paraId="17ECFFA7" w14:textId="77777777" w:rsidR="001428DF" w:rsidRDefault="003C240B" w:rsidP="0059613C">
            <w:pPr>
              <w:jc w:val="both"/>
              <w:rPr>
                <w:rFonts w:ascii="Verdana" w:hAnsi="Verdana"/>
                <w:b w:val="0"/>
                <w:sz w:val="18"/>
                <w:szCs w:val="18"/>
              </w:rPr>
            </w:pPr>
            <w:r w:rsidRPr="00045936">
              <w:rPr>
                <w:rFonts w:ascii="Verdana" w:hAnsi="Verdana"/>
                <w:b w:val="0"/>
                <w:sz w:val="18"/>
                <w:szCs w:val="18"/>
              </w:rPr>
              <w:t>Para los brotes erradicados y las capturas simples eliminadas en 2019 se instalaron un total de 11.471 trampas en el área de trabajo, realizándose 303.113 revisiones de trampas para detectar estados inmaduros</w:t>
            </w:r>
            <w:r>
              <w:rPr>
                <w:rFonts w:ascii="Verdana" w:hAnsi="Verdana"/>
                <w:b w:val="0"/>
                <w:sz w:val="18"/>
                <w:szCs w:val="18"/>
              </w:rPr>
              <w:t>,</w:t>
            </w:r>
            <w:r w:rsidRPr="00045936">
              <w:rPr>
                <w:rFonts w:ascii="Verdana" w:hAnsi="Verdana"/>
                <w:b w:val="0"/>
                <w:sz w:val="18"/>
                <w:szCs w:val="18"/>
              </w:rPr>
              <w:t xml:space="preserve"> se visitaron 194.817 lugares, se muestrearon 36.237 lugares y se analizaron 138.555 muestras, equivalentes a 1.763.650 unidades de fruta analizadas (64.643 K</w:t>
            </w:r>
            <w:r>
              <w:rPr>
                <w:rFonts w:ascii="Verdana" w:hAnsi="Verdana"/>
                <w:b w:val="0"/>
                <w:sz w:val="18"/>
                <w:szCs w:val="18"/>
              </w:rPr>
              <w:t>g</w:t>
            </w:r>
            <w:r w:rsidRPr="00045936">
              <w:rPr>
                <w:rFonts w:ascii="Verdana" w:hAnsi="Verdana"/>
                <w:b w:val="0"/>
                <w:sz w:val="18"/>
                <w:szCs w:val="18"/>
              </w:rPr>
              <w:t xml:space="preserve"> de fruta). Adicionalmente, dentro de las actividades de control realizadas para erradicar los 5 brotes, se trataron 20.195 lugares, equivalentes a 224.710 m</w:t>
            </w:r>
            <w:r w:rsidRPr="003C240B">
              <w:rPr>
                <w:rFonts w:ascii="Verdana" w:hAnsi="Verdana"/>
                <w:b w:val="0"/>
                <w:sz w:val="18"/>
                <w:szCs w:val="18"/>
                <w:vertAlign w:val="superscript"/>
              </w:rPr>
              <w:t>2</w:t>
            </w:r>
            <w:r w:rsidRPr="00045936">
              <w:rPr>
                <w:rFonts w:ascii="Verdana" w:hAnsi="Verdana"/>
                <w:b w:val="0"/>
                <w:sz w:val="18"/>
                <w:szCs w:val="18"/>
              </w:rPr>
              <w:t xml:space="preserve"> y se descargaron 254.520 </w:t>
            </w:r>
            <w:r>
              <w:rPr>
                <w:rFonts w:ascii="Verdana" w:hAnsi="Verdana"/>
                <w:b w:val="0"/>
                <w:sz w:val="18"/>
                <w:szCs w:val="18"/>
              </w:rPr>
              <w:t>K</w:t>
            </w:r>
            <w:r w:rsidRPr="00045936">
              <w:rPr>
                <w:rFonts w:ascii="Verdana" w:hAnsi="Verdana"/>
                <w:b w:val="0"/>
                <w:sz w:val="18"/>
                <w:szCs w:val="18"/>
              </w:rPr>
              <w:t>g de fruta</w:t>
            </w:r>
            <w:r>
              <w:rPr>
                <w:rFonts w:ascii="Verdana" w:hAnsi="Verdana"/>
                <w:b w:val="0"/>
                <w:sz w:val="18"/>
                <w:szCs w:val="18"/>
              </w:rPr>
              <w:t>.</w:t>
            </w:r>
          </w:p>
          <w:p w14:paraId="7A1873C5" w14:textId="77777777" w:rsidR="003C240B" w:rsidRPr="00D72D50" w:rsidRDefault="003C240B" w:rsidP="0059613C">
            <w:pPr>
              <w:jc w:val="both"/>
              <w:rPr>
                <w:rFonts w:ascii="Verdana" w:hAnsi="Verdana"/>
                <w:sz w:val="18"/>
                <w:szCs w:val="18"/>
              </w:rPr>
            </w:pPr>
          </w:p>
        </w:tc>
      </w:tr>
    </w:tbl>
    <w:p w14:paraId="7E65EAE7" w14:textId="77777777" w:rsidR="00534647" w:rsidRDefault="00534647" w:rsidP="00435923"/>
    <w:p w14:paraId="26F1928F" w14:textId="77777777" w:rsidR="00CD36BA" w:rsidRDefault="00CD36BA" w:rsidP="00435923"/>
    <w:p w14:paraId="1C904E7E" w14:textId="77777777" w:rsidR="00CD36BA" w:rsidRDefault="00CD36BA" w:rsidP="00435923"/>
    <w:p w14:paraId="672009BE" w14:textId="77777777" w:rsidR="00CD36BA" w:rsidRDefault="00CD36BA" w:rsidP="00435923"/>
    <w:p w14:paraId="5322B349" w14:textId="77777777" w:rsidR="00CD36BA" w:rsidRDefault="00CD36BA" w:rsidP="00435923"/>
    <w:p w14:paraId="06C2FE20" w14:textId="77777777" w:rsidR="00697686" w:rsidRPr="00563FE2" w:rsidRDefault="00A346F1" w:rsidP="00A346F1">
      <w:pPr>
        <w:pStyle w:val="Ttulo2"/>
        <w:numPr>
          <w:ilvl w:val="1"/>
          <w:numId w:val="8"/>
        </w:numPr>
        <w:spacing w:before="0"/>
        <w:ind w:hanging="873"/>
        <w:jc w:val="both"/>
        <w:rPr>
          <w:rFonts w:asciiTheme="minorHAnsi" w:hAnsiTheme="minorHAnsi" w:cstheme="minorHAnsi"/>
        </w:rPr>
      </w:pPr>
      <w:bookmarkStart w:id="25" w:name="_Toc30512079"/>
      <w:r w:rsidRPr="00563FE2">
        <w:rPr>
          <w:rFonts w:asciiTheme="minorHAnsi" w:hAnsiTheme="minorHAnsi" w:cstheme="minorHAnsi"/>
        </w:rPr>
        <w:lastRenderedPageBreak/>
        <w:t>Fortalecimiento del rol fiscalizador del SAG.</w:t>
      </w:r>
      <w:bookmarkEnd w:id="25"/>
    </w:p>
    <w:p w14:paraId="019BCA20" w14:textId="77777777" w:rsidR="00A346F1" w:rsidRPr="00A346F1" w:rsidRDefault="00A346F1" w:rsidP="00A346F1"/>
    <w:tbl>
      <w:tblPr>
        <w:tblStyle w:val="Tabladecuadrcula4-nfasis11"/>
        <w:tblW w:w="5000" w:type="pct"/>
        <w:tblLook w:val="04A0" w:firstRow="1" w:lastRow="0" w:firstColumn="1" w:lastColumn="0" w:noHBand="0" w:noVBand="1"/>
      </w:tblPr>
      <w:tblGrid>
        <w:gridCol w:w="4958"/>
        <w:gridCol w:w="1418"/>
        <w:gridCol w:w="2452"/>
      </w:tblGrid>
      <w:tr w:rsidR="00EF594C" w14:paraId="199B6E29" w14:textId="77777777" w:rsidTr="004711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pct"/>
          </w:tcPr>
          <w:p w14:paraId="50A5DF74" w14:textId="77777777" w:rsidR="00EF594C" w:rsidRPr="00D72D50" w:rsidRDefault="00EF594C" w:rsidP="00776881">
            <w:pPr>
              <w:jc w:val="center"/>
              <w:rPr>
                <w:rFonts w:ascii="Verdana" w:hAnsi="Verdana"/>
                <w:sz w:val="18"/>
                <w:szCs w:val="18"/>
              </w:rPr>
            </w:pPr>
            <w:r w:rsidRPr="00D72D50">
              <w:rPr>
                <w:rFonts w:ascii="Verdana" w:hAnsi="Verdana"/>
                <w:sz w:val="18"/>
                <w:szCs w:val="18"/>
              </w:rPr>
              <w:t>Objetivo Estratégico</w:t>
            </w:r>
          </w:p>
        </w:tc>
        <w:tc>
          <w:tcPr>
            <w:tcW w:w="2192" w:type="pct"/>
            <w:gridSpan w:val="2"/>
          </w:tcPr>
          <w:p w14:paraId="067A36F8" w14:textId="77777777" w:rsidR="00EF594C" w:rsidRPr="00D72D50" w:rsidRDefault="00631123" w:rsidP="00B16616">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Objetivo Específico 201</w:t>
            </w:r>
            <w:r w:rsidR="00B16616">
              <w:rPr>
                <w:rFonts w:ascii="Verdana" w:hAnsi="Verdana"/>
                <w:sz w:val="18"/>
                <w:szCs w:val="18"/>
              </w:rPr>
              <w:t>9</w:t>
            </w:r>
            <w:r w:rsidR="00D17E22">
              <w:rPr>
                <w:rFonts w:ascii="Verdana" w:hAnsi="Verdana"/>
                <w:sz w:val="18"/>
                <w:szCs w:val="18"/>
              </w:rPr>
              <w:t xml:space="preserve"> (Táctico)</w:t>
            </w:r>
          </w:p>
        </w:tc>
      </w:tr>
      <w:tr w:rsidR="00EF594C" w14:paraId="31BAA14F" w14:textId="77777777" w:rsidTr="004711B9">
        <w:trPr>
          <w:cnfStyle w:val="000000100000" w:firstRow="0" w:lastRow="0" w:firstColumn="0" w:lastColumn="0" w:oddVBand="0" w:evenVBand="0" w:oddHBand="1"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2808" w:type="pct"/>
          </w:tcPr>
          <w:p w14:paraId="7ADDD8DB" w14:textId="77777777" w:rsidR="00EF594C" w:rsidRPr="001019D8" w:rsidRDefault="00B16616" w:rsidP="00776881">
            <w:pPr>
              <w:jc w:val="both"/>
              <w:rPr>
                <w:rFonts w:ascii="Verdana" w:hAnsi="Verdana"/>
              </w:rPr>
            </w:pPr>
            <w:r w:rsidRPr="001019D8">
              <w:rPr>
                <w:rFonts w:ascii="Verdana" w:hAnsi="Verdana" w:cstheme="minorHAnsi"/>
                <w:sz w:val="20"/>
                <w:szCs w:val="20"/>
              </w:rPr>
              <w:t>Potenciar el rol fiscalizador del SAG</w:t>
            </w:r>
          </w:p>
        </w:tc>
        <w:tc>
          <w:tcPr>
            <w:tcW w:w="2192" w:type="pct"/>
            <w:gridSpan w:val="2"/>
          </w:tcPr>
          <w:p w14:paraId="2BD55214" w14:textId="77777777" w:rsidR="00EF594C" w:rsidRPr="001019D8" w:rsidRDefault="00B16616" w:rsidP="00776881">
            <w:pPr>
              <w:jc w:val="both"/>
              <w:cnfStyle w:val="000000100000" w:firstRow="0" w:lastRow="0" w:firstColumn="0" w:lastColumn="0" w:oddVBand="0" w:evenVBand="0" w:oddHBand="1" w:evenHBand="0" w:firstRowFirstColumn="0" w:firstRowLastColumn="0" w:lastRowFirstColumn="0" w:lastRowLastColumn="0"/>
              <w:rPr>
                <w:rFonts w:ascii="Verdana" w:hAnsi="Verdana"/>
              </w:rPr>
            </w:pPr>
            <w:r w:rsidRPr="001019D8">
              <w:rPr>
                <w:rFonts w:ascii="Verdana" w:hAnsi="Verdana" w:cstheme="minorHAnsi"/>
                <w:sz w:val="20"/>
                <w:szCs w:val="20"/>
              </w:rPr>
              <w:t>Dar cumplimiento al Plan de Fiscalización.</w:t>
            </w:r>
          </w:p>
        </w:tc>
      </w:tr>
      <w:tr w:rsidR="00EF594C" w14:paraId="2B1F23E3" w14:textId="77777777" w:rsidTr="004711B9">
        <w:tc>
          <w:tcPr>
            <w:cnfStyle w:val="001000000000" w:firstRow="0" w:lastRow="0" w:firstColumn="1" w:lastColumn="0" w:oddVBand="0" w:evenVBand="0" w:oddHBand="0" w:evenHBand="0" w:firstRowFirstColumn="0" w:firstRowLastColumn="0" w:lastRowFirstColumn="0" w:lastRowLastColumn="0"/>
            <w:tcW w:w="2808" w:type="pct"/>
            <w:shd w:val="clear" w:color="auto" w:fill="5B9BD5" w:themeFill="accent1"/>
          </w:tcPr>
          <w:p w14:paraId="5FCB1795" w14:textId="77777777" w:rsidR="00EF594C" w:rsidRPr="001019D8" w:rsidRDefault="00EF594C" w:rsidP="00776881">
            <w:pPr>
              <w:jc w:val="center"/>
              <w:rPr>
                <w:rFonts w:ascii="Verdana" w:hAnsi="Verdana"/>
                <w:color w:val="FFFFFF" w:themeColor="background1"/>
                <w:sz w:val="18"/>
                <w:szCs w:val="18"/>
              </w:rPr>
            </w:pPr>
            <w:r w:rsidRPr="001019D8">
              <w:rPr>
                <w:rFonts w:ascii="Verdana" w:hAnsi="Verdana"/>
                <w:color w:val="FFFFFF" w:themeColor="background1"/>
                <w:sz w:val="18"/>
                <w:szCs w:val="18"/>
              </w:rPr>
              <w:t>Indicador</w:t>
            </w:r>
          </w:p>
        </w:tc>
        <w:tc>
          <w:tcPr>
            <w:tcW w:w="803" w:type="pct"/>
            <w:shd w:val="clear" w:color="auto" w:fill="5B9BD5" w:themeFill="accent1"/>
          </w:tcPr>
          <w:p w14:paraId="0D549EB3" w14:textId="77777777" w:rsidR="00EF594C" w:rsidRPr="001019D8" w:rsidRDefault="00863E1D" w:rsidP="002E67B1">
            <w:pPr>
              <w:jc w:val="center"/>
              <w:cnfStyle w:val="000000000000" w:firstRow="0" w:lastRow="0" w:firstColumn="0" w:lastColumn="0" w:oddVBand="0" w:evenVBand="0" w:oddHBand="0" w:evenHBand="0" w:firstRowFirstColumn="0" w:firstRowLastColumn="0" w:lastRowFirstColumn="0" w:lastRowLastColumn="0"/>
              <w:rPr>
                <w:rFonts w:ascii="Verdana" w:hAnsi="Verdana"/>
                <w:b/>
                <w:color w:val="FFFFFF" w:themeColor="background1"/>
                <w:sz w:val="18"/>
                <w:szCs w:val="18"/>
              </w:rPr>
            </w:pPr>
            <w:r w:rsidRPr="001019D8">
              <w:rPr>
                <w:rFonts w:ascii="Verdana" w:hAnsi="Verdana"/>
                <w:b/>
                <w:color w:val="FFFFFF" w:themeColor="background1"/>
                <w:sz w:val="18"/>
                <w:szCs w:val="18"/>
              </w:rPr>
              <w:t>Meta 201</w:t>
            </w:r>
            <w:r w:rsidR="002E67B1" w:rsidRPr="001019D8">
              <w:rPr>
                <w:rFonts w:ascii="Verdana" w:hAnsi="Verdana"/>
                <w:b/>
                <w:color w:val="FFFFFF" w:themeColor="background1"/>
                <w:sz w:val="18"/>
                <w:szCs w:val="18"/>
              </w:rPr>
              <w:t>9</w:t>
            </w:r>
          </w:p>
        </w:tc>
        <w:tc>
          <w:tcPr>
            <w:tcW w:w="1390" w:type="pct"/>
            <w:shd w:val="clear" w:color="auto" w:fill="5B9BD5" w:themeFill="accent1"/>
          </w:tcPr>
          <w:p w14:paraId="0258FE44" w14:textId="77777777" w:rsidR="00EF594C" w:rsidRPr="001019D8" w:rsidRDefault="0096609A" w:rsidP="00B16616">
            <w:pPr>
              <w:jc w:val="center"/>
              <w:cnfStyle w:val="000000000000" w:firstRow="0" w:lastRow="0" w:firstColumn="0" w:lastColumn="0" w:oddVBand="0" w:evenVBand="0" w:oddHBand="0" w:evenHBand="0" w:firstRowFirstColumn="0" w:firstRowLastColumn="0" w:lastRowFirstColumn="0" w:lastRowLastColumn="0"/>
              <w:rPr>
                <w:rFonts w:ascii="Verdana" w:hAnsi="Verdana"/>
                <w:b/>
                <w:color w:val="FFFFFF" w:themeColor="background1"/>
                <w:sz w:val="18"/>
                <w:szCs w:val="18"/>
              </w:rPr>
            </w:pPr>
            <w:r w:rsidRPr="001019D8">
              <w:rPr>
                <w:rFonts w:ascii="Verdana" w:hAnsi="Verdana"/>
                <w:b/>
                <w:color w:val="FFFFFF" w:themeColor="background1"/>
                <w:sz w:val="18"/>
                <w:szCs w:val="18"/>
              </w:rPr>
              <w:t>Resultado al 31.12.19</w:t>
            </w:r>
          </w:p>
        </w:tc>
      </w:tr>
      <w:tr w:rsidR="00EF594C" w14:paraId="386A03B3" w14:textId="77777777" w:rsidTr="004711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pct"/>
          </w:tcPr>
          <w:p w14:paraId="64B0833F" w14:textId="77777777" w:rsidR="00EF594C" w:rsidRPr="001019D8" w:rsidRDefault="00B16616" w:rsidP="00776881">
            <w:pPr>
              <w:jc w:val="both"/>
              <w:rPr>
                <w:rFonts w:ascii="Verdana" w:hAnsi="Verdana"/>
              </w:rPr>
            </w:pPr>
            <w:r w:rsidRPr="001019D8">
              <w:rPr>
                <w:rFonts w:ascii="Verdana" w:hAnsi="Verdana" w:cstheme="minorHAnsi"/>
                <w:sz w:val="20"/>
                <w:szCs w:val="20"/>
              </w:rPr>
              <w:t>Porcentaje de cumplimiento de</w:t>
            </w:r>
            <w:r w:rsidR="002E67B1" w:rsidRPr="001019D8">
              <w:rPr>
                <w:rFonts w:ascii="Verdana" w:hAnsi="Verdana" w:cstheme="minorHAnsi"/>
                <w:sz w:val="20"/>
                <w:szCs w:val="20"/>
              </w:rPr>
              <w:t>l plan anual de fiscalización.</w:t>
            </w:r>
          </w:p>
        </w:tc>
        <w:tc>
          <w:tcPr>
            <w:tcW w:w="803" w:type="pct"/>
            <w:vAlign w:val="center"/>
          </w:tcPr>
          <w:p w14:paraId="62A7F92D" w14:textId="77777777" w:rsidR="00EF594C" w:rsidRPr="001019D8" w:rsidRDefault="00863E1D" w:rsidP="00435923">
            <w:pPr>
              <w:jc w:val="cente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1019D8">
              <w:rPr>
                <w:rFonts w:ascii="Verdana" w:hAnsi="Verdana"/>
                <w:sz w:val="24"/>
                <w:szCs w:val="24"/>
              </w:rPr>
              <w:t>100</w:t>
            </w:r>
            <w:r w:rsidR="00EF594C" w:rsidRPr="001019D8">
              <w:rPr>
                <w:rFonts w:ascii="Verdana" w:hAnsi="Verdana"/>
                <w:sz w:val="24"/>
                <w:szCs w:val="24"/>
              </w:rPr>
              <w:t>%</w:t>
            </w:r>
          </w:p>
        </w:tc>
        <w:tc>
          <w:tcPr>
            <w:tcW w:w="1390" w:type="pct"/>
            <w:vAlign w:val="center"/>
          </w:tcPr>
          <w:p w14:paraId="610F25C3" w14:textId="77777777" w:rsidR="00BD4AAF" w:rsidRPr="001019D8" w:rsidRDefault="001C4CA4" w:rsidP="00435923">
            <w:pPr>
              <w:jc w:val="cente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1019D8">
              <w:rPr>
                <w:rFonts w:ascii="Verdana" w:hAnsi="Verdana"/>
                <w:sz w:val="24"/>
                <w:szCs w:val="24"/>
              </w:rPr>
              <w:t>102,</w:t>
            </w:r>
            <w:r w:rsidR="00A1528D" w:rsidRPr="001019D8">
              <w:rPr>
                <w:rFonts w:ascii="Verdana" w:hAnsi="Verdana"/>
                <w:sz w:val="24"/>
                <w:szCs w:val="24"/>
              </w:rPr>
              <w:t>2</w:t>
            </w:r>
            <w:r w:rsidR="00BD4AAF" w:rsidRPr="001019D8">
              <w:rPr>
                <w:rFonts w:ascii="Verdana" w:hAnsi="Verdana"/>
                <w:sz w:val="24"/>
                <w:szCs w:val="24"/>
              </w:rPr>
              <w:t>%</w:t>
            </w:r>
          </w:p>
          <w:p w14:paraId="39512DE5" w14:textId="77777777" w:rsidR="00EF594C" w:rsidRDefault="00BD4AAF" w:rsidP="001C4CA4">
            <w:pPr>
              <w:jc w:val="cente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1019D8">
              <w:rPr>
                <w:rFonts w:ascii="Verdana" w:hAnsi="Verdana"/>
                <w:sz w:val="24"/>
                <w:szCs w:val="24"/>
              </w:rPr>
              <w:t>(</w:t>
            </w:r>
            <w:r w:rsidR="001C4CA4" w:rsidRPr="001019D8">
              <w:rPr>
                <w:rFonts w:ascii="Verdana" w:hAnsi="Verdana"/>
                <w:sz w:val="24"/>
                <w:szCs w:val="24"/>
              </w:rPr>
              <w:t>27</w:t>
            </w:r>
            <w:r w:rsidR="00AC1BC3" w:rsidRPr="001019D8">
              <w:rPr>
                <w:rFonts w:ascii="Verdana" w:hAnsi="Verdana"/>
                <w:sz w:val="24"/>
                <w:szCs w:val="24"/>
              </w:rPr>
              <w:t>.</w:t>
            </w:r>
            <w:r w:rsidR="001C4CA4" w:rsidRPr="001019D8">
              <w:rPr>
                <w:rFonts w:ascii="Verdana" w:hAnsi="Verdana"/>
                <w:sz w:val="24"/>
                <w:szCs w:val="24"/>
              </w:rPr>
              <w:t>089</w:t>
            </w:r>
            <w:r w:rsidRPr="001019D8">
              <w:rPr>
                <w:rFonts w:ascii="Verdana" w:hAnsi="Verdana"/>
                <w:sz w:val="24"/>
                <w:szCs w:val="24"/>
              </w:rPr>
              <w:t>/</w:t>
            </w:r>
            <w:r w:rsidR="000C3AB0" w:rsidRPr="001019D8">
              <w:rPr>
                <w:rFonts w:ascii="Verdana" w:hAnsi="Verdana"/>
                <w:sz w:val="24"/>
                <w:szCs w:val="24"/>
              </w:rPr>
              <w:t>26.</w:t>
            </w:r>
            <w:r w:rsidR="001C4CA4" w:rsidRPr="001019D8">
              <w:rPr>
                <w:rFonts w:ascii="Verdana" w:hAnsi="Verdana"/>
                <w:sz w:val="24"/>
                <w:szCs w:val="24"/>
              </w:rPr>
              <w:t>511</w:t>
            </w:r>
            <w:r w:rsidRPr="001019D8">
              <w:rPr>
                <w:rFonts w:ascii="Verdana" w:hAnsi="Verdana"/>
                <w:sz w:val="24"/>
                <w:szCs w:val="24"/>
              </w:rPr>
              <w:t>)</w:t>
            </w:r>
          </w:p>
          <w:p w14:paraId="1D2891B1" w14:textId="236A1FC2" w:rsidR="004711B9" w:rsidRPr="001019D8" w:rsidRDefault="004711B9" w:rsidP="001C4CA4">
            <w:pPr>
              <w:jc w:val="cente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r>
      <w:tr w:rsidR="00EF594C" w14:paraId="3BEA59D0" w14:textId="77777777" w:rsidTr="00776881">
        <w:tc>
          <w:tcPr>
            <w:cnfStyle w:val="001000000000" w:firstRow="0" w:lastRow="0" w:firstColumn="1" w:lastColumn="0" w:oddVBand="0" w:evenVBand="0" w:oddHBand="0" w:evenHBand="0" w:firstRowFirstColumn="0" w:firstRowLastColumn="0" w:lastRowFirstColumn="0" w:lastRowLastColumn="0"/>
            <w:tcW w:w="5000" w:type="pct"/>
            <w:gridSpan w:val="3"/>
          </w:tcPr>
          <w:p w14:paraId="561CC00B" w14:textId="77777777" w:rsidR="00435923" w:rsidRDefault="0096609A" w:rsidP="00776881">
            <w:pPr>
              <w:spacing w:before="120"/>
              <w:jc w:val="both"/>
              <w:rPr>
                <w:rFonts w:ascii="Verdana" w:hAnsi="Verdana"/>
                <w:sz w:val="18"/>
                <w:szCs w:val="18"/>
              </w:rPr>
            </w:pPr>
            <w:r>
              <w:rPr>
                <w:rFonts w:ascii="Verdana" w:hAnsi="Verdana"/>
                <w:sz w:val="18"/>
                <w:szCs w:val="18"/>
              </w:rPr>
              <w:t>Descripción del Resultado:</w:t>
            </w:r>
          </w:p>
          <w:p w14:paraId="280053EB" w14:textId="3EAA461D" w:rsidR="00A71D05" w:rsidRPr="00D465F2" w:rsidRDefault="00A71D05" w:rsidP="00A71D05">
            <w:pPr>
              <w:jc w:val="both"/>
              <w:rPr>
                <w:rFonts w:ascii="Verdana" w:hAnsi="Verdana"/>
                <w:b w:val="0"/>
                <w:sz w:val="18"/>
                <w:szCs w:val="18"/>
              </w:rPr>
            </w:pPr>
            <w:r w:rsidRPr="00D465F2">
              <w:rPr>
                <w:rFonts w:ascii="Verdana" w:hAnsi="Verdana"/>
                <w:b w:val="0"/>
                <w:sz w:val="18"/>
                <w:szCs w:val="18"/>
              </w:rPr>
              <w:t xml:space="preserve">El Plan </w:t>
            </w:r>
            <w:r>
              <w:rPr>
                <w:rFonts w:ascii="Verdana" w:hAnsi="Verdana"/>
                <w:b w:val="0"/>
                <w:sz w:val="18"/>
                <w:szCs w:val="18"/>
              </w:rPr>
              <w:t xml:space="preserve">Anual </w:t>
            </w:r>
            <w:r w:rsidRPr="00D465F2">
              <w:rPr>
                <w:rFonts w:ascii="Verdana" w:hAnsi="Verdana"/>
                <w:b w:val="0"/>
                <w:sz w:val="18"/>
                <w:szCs w:val="18"/>
              </w:rPr>
              <w:t xml:space="preserve">de fiscalización considera </w:t>
            </w:r>
            <w:r>
              <w:rPr>
                <w:rFonts w:ascii="Verdana" w:hAnsi="Verdana"/>
                <w:b w:val="0"/>
                <w:sz w:val="18"/>
                <w:szCs w:val="18"/>
              </w:rPr>
              <w:t xml:space="preserve">la </w:t>
            </w:r>
            <w:r w:rsidRPr="00D465F2">
              <w:rPr>
                <w:rFonts w:ascii="Verdana" w:hAnsi="Verdana"/>
                <w:b w:val="0"/>
                <w:sz w:val="18"/>
                <w:szCs w:val="18"/>
              </w:rPr>
              <w:t xml:space="preserve">realización de fiscalizaciones a 13 normativas de competencia del SAG, incluidas en el Sistema de Gestión de la Calidad </w:t>
            </w:r>
            <w:r>
              <w:rPr>
                <w:rFonts w:ascii="Verdana" w:hAnsi="Verdana"/>
                <w:b w:val="0"/>
                <w:sz w:val="18"/>
                <w:szCs w:val="18"/>
              </w:rPr>
              <w:t>institucional</w:t>
            </w:r>
            <w:r w:rsidRPr="00D465F2">
              <w:rPr>
                <w:rFonts w:ascii="Verdana" w:hAnsi="Verdana"/>
                <w:b w:val="0"/>
                <w:sz w:val="18"/>
                <w:szCs w:val="18"/>
              </w:rPr>
              <w:t>. Dichas normativas se encuentran señaladas en la Nota N°</w:t>
            </w:r>
            <w:r w:rsidR="00AC4160">
              <w:rPr>
                <w:rFonts w:ascii="Verdana" w:hAnsi="Verdana"/>
                <w:b w:val="0"/>
                <w:sz w:val="18"/>
                <w:szCs w:val="18"/>
              </w:rPr>
              <w:t>7</w:t>
            </w:r>
            <w:r w:rsidRPr="00D465F2">
              <w:rPr>
                <w:rFonts w:ascii="Verdana" w:hAnsi="Verdana"/>
                <w:b w:val="0"/>
                <w:sz w:val="18"/>
                <w:szCs w:val="18"/>
              </w:rPr>
              <w:t xml:space="preserve"> del indicador.</w:t>
            </w:r>
          </w:p>
          <w:p w14:paraId="2FA023C2" w14:textId="77777777" w:rsidR="00A71D05" w:rsidRPr="00D465F2" w:rsidRDefault="00A71D05" w:rsidP="00A71D05">
            <w:pPr>
              <w:jc w:val="both"/>
              <w:rPr>
                <w:rFonts w:ascii="Verdana" w:hAnsi="Verdana"/>
                <w:b w:val="0"/>
                <w:sz w:val="18"/>
                <w:szCs w:val="18"/>
              </w:rPr>
            </w:pPr>
          </w:p>
          <w:p w14:paraId="2D888499" w14:textId="77777777" w:rsidR="00A1528D" w:rsidRPr="00A1528D" w:rsidRDefault="00A71D05" w:rsidP="00A1528D">
            <w:pPr>
              <w:jc w:val="both"/>
              <w:rPr>
                <w:rFonts w:ascii="Verdana" w:hAnsi="Verdana"/>
                <w:b w:val="0"/>
                <w:sz w:val="18"/>
                <w:szCs w:val="18"/>
              </w:rPr>
            </w:pPr>
            <w:r w:rsidRPr="00D465F2">
              <w:rPr>
                <w:rFonts w:ascii="Verdana" w:hAnsi="Verdana"/>
                <w:b w:val="0"/>
                <w:sz w:val="18"/>
                <w:szCs w:val="18"/>
              </w:rPr>
              <w:t>El resultado para 201</w:t>
            </w:r>
            <w:r>
              <w:rPr>
                <w:rFonts w:ascii="Verdana" w:hAnsi="Verdana"/>
                <w:b w:val="0"/>
                <w:sz w:val="18"/>
                <w:szCs w:val="18"/>
              </w:rPr>
              <w:t>9</w:t>
            </w:r>
            <w:r w:rsidRPr="00D465F2">
              <w:rPr>
                <w:rFonts w:ascii="Verdana" w:hAnsi="Verdana"/>
                <w:b w:val="0"/>
                <w:sz w:val="18"/>
                <w:szCs w:val="18"/>
              </w:rPr>
              <w:t xml:space="preserve"> es de un 10</w:t>
            </w:r>
            <w:r w:rsidR="00AC1BC3">
              <w:rPr>
                <w:rFonts w:ascii="Verdana" w:hAnsi="Verdana"/>
                <w:b w:val="0"/>
                <w:sz w:val="18"/>
                <w:szCs w:val="18"/>
              </w:rPr>
              <w:t>2</w:t>
            </w:r>
            <w:r w:rsidRPr="00D465F2">
              <w:rPr>
                <w:rFonts w:ascii="Verdana" w:hAnsi="Verdana"/>
                <w:b w:val="0"/>
                <w:sz w:val="18"/>
                <w:szCs w:val="18"/>
              </w:rPr>
              <w:t>,</w:t>
            </w:r>
            <w:r w:rsidR="00A1528D">
              <w:rPr>
                <w:rFonts w:ascii="Verdana" w:hAnsi="Verdana"/>
                <w:b w:val="0"/>
                <w:sz w:val="18"/>
                <w:szCs w:val="18"/>
              </w:rPr>
              <w:t>2</w:t>
            </w:r>
            <w:r w:rsidRPr="00D465F2">
              <w:rPr>
                <w:rFonts w:ascii="Verdana" w:hAnsi="Verdana"/>
                <w:b w:val="0"/>
                <w:sz w:val="18"/>
                <w:szCs w:val="18"/>
              </w:rPr>
              <w:t>%, esto es 27.0</w:t>
            </w:r>
            <w:r w:rsidR="00240E96">
              <w:rPr>
                <w:rFonts w:ascii="Verdana" w:hAnsi="Verdana"/>
                <w:b w:val="0"/>
                <w:sz w:val="18"/>
                <w:szCs w:val="18"/>
              </w:rPr>
              <w:t>89</w:t>
            </w:r>
            <w:r w:rsidRPr="00D465F2">
              <w:rPr>
                <w:rFonts w:ascii="Verdana" w:hAnsi="Verdana"/>
                <w:b w:val="0"/>
                <w:sz w:val="18"/>
                <w:szCs w:val="18"/>
              </w:rPr>
              <w:t xml:space="preserve"> fiscalizaciones realizadas sobre un total de 26.5</w:t>
            </w:r>
            <w:r w:rsidR="00240E96">
              <w:rPr>
                <w:rFonts w:ascii="Verdana" w:hAnsi="Verdana"/>
                <w:b w:val="0"/>
                <w:sz w:val="18"/>
                <w:szCs w:val="18"/>
              </w:rPr>
              <w:t>11</w:t>
            </w:r>
            <w:r w:rsidRPr="00D465F2">
              <w:rPr>
                <w:rFonts w:ascii="Verdana" w:hAnsi="Verdana"/>
                <w:b w:val="0"/>
                <w:sz w:val="18"/>
                <w:szCs w:val="18"/>
              </w:rPr>
              <w:t xml:space="preserve"> fiscalizaciones programadas, cumpliendo con la meta comprometida. </w:t>
            </w:r>
            <w:r w:rsidR="00A1528D">
              <w:rPr>
                <w:rFonts w:ascii="Verdana" w:hAnsi="Verdana"/>
                <w:b w:val="0"/>
                <w:sz w:val="18"/>
                <w:szCs w:val="18"/>
              </w:rPr>
              <w:t xml:space="preserve">De </w:t>
            </w:r>
            <w:r w:rsidR="004856CB">
              <w:rPr>
                <w:rFonts w:ascii="Verdana" w:hAnsi="Verdana"/>
                <w:b w:val="0"/>
                <w:sz w:val="18"/>
                <w:szCs w:val="18"/>
              </w:rPr>
              <w:t>l</w:t>
            </w:r>
            <w:r w:rsidR="00A1528D">
              <w:rPr>
                <w:rFonts w:ascii="Verdana" w:hAnsi="Verdana"/>
                <w:b w:val="0"/>
                <w:sz w:val="18"/>
                <w:szCs w:val="18"/>
              </w:rPr>
              <w:t>as fiscalizaciones</w:t>
            </w:r>
            <w:r w:rsidR="004856CB">
              <w:rPr>
                <w:rFonts w:ascii="Verdana" w:hAnsi="Verdana"/>
                <w:b w:val="0"/>
                <w:sz w:val="18"/>
                <w:szCs w:val="18"/>
              </w:rPr>
              <w:t xml:space="preserve"> realizadas,</w:t>
            </w:r>
            <w:r w:rsidR="00A1528D" w:rsidRPr="00A1528D">
              <w:rPr>
                <w:rFonts w:ascii="Verdana" w:hAnsi="Verdana"/>
                <w:b w:val="0"/>
                <w:sz w:val="18"/>
                <w:szCs w:val="18"/>
              </w:rPr>
              <w:t xml:space="preserve"> el 92,9% resultó con cumplimiento normativo.</w:t>
            </w:r>
          </w:p>
          <w:p w14:paraId="6953A11E" w14:textId="77777777" w:rsidR="00A1528D" w:rsidRDefault="00A1528D" w:rsidP="00A71D05">
            <w:pPr>
              <w:jc w:val="both"/>
              <w:rPr>
                <w:rFonts w:ascii="Verdana" w:hAnsi="Verdana"/>
                <w:b w:val="0"/>
                <w:sz w:val="18"/>
                <w:szCs w:val="18"/>
              </w:rPr>
            </w:pPr>
          </w:p>
          <w:p w14:paraId="4858FD4D" w14:textId="77777777" w:rsidR="00A71D05" w:rsidRPr="00D465F2" w:rsidRDefault="00A71D05" w:rsidP="00A71D05">
            <w:pPr>
              <w:jc w:val="both"/>
              <w:rPr>
                <w:rFonts w:ascii="Verdana" w:hAnsi="Verdana"/>
                <w:b w:val="0"/>
                <w:sz w:val="18"/>
                <w:szCs w:val="18"/>
              </w:rPr>
            </w:pPr>
            <w:r w:rsidRPr="00D465F2">
              <w:rPr>
                <w:rFonts w:ascii="Verdana" w:hAnsi="Verdana"/>
                <w:b w:val="0"/>
                <w:sz w:val="18"/>
                <w:szCs w:val="18"/>
              </w:rPr>
              <w:t>Según el ámbito de fiscalización se observa lo siguiente:</w:t>
            </w:r>
          </w:p>
          <w:p w14:paraId="18FA410D" w14:textId="77777777" w:rsidR="00A71D05" w:rsidRDefault="00A71D05" w:rsidP="00776881">
            <w:pPr>
              <w:spacing w:before="120"/>
              <w:jc w:val="both"/>
              <w:rPr>
                <w:rFonts w:ascii="Verdana" w:hAnsi="Verdana"/>
                <w:sz w:val="18"/>
                <w:szCs w:val="18"/>
              </w:rPr>
            </w:pPr>
          </w:p>
          <w:p w14:paraId="539E4D8A" w14:textId="09E84B75" w:rsidR="00A71D05" w:rsidRDefault="00A71D05" w:rsidP="00A71D05">
            <w:pPr>
              <w:jc w:val="both"/>
              <w:rPr>
                <w:rFonts w:ascii="Verdana" w:hAnsi="Verdana"/>
                <w:sz w:val="18"/>
                <w:szCs w:val="18"/>
                <w:u w:val="single"/>
              </w:rPr>
            </w:pPr>
            <w:r w:rsidRPr="00D465F2">
              <w:rPr>
                <w:rFonts w:ascii="Verdana" w:hAnsi="Verdana"/>
                <w:sz w:val="18"/>
                <w:szCs w:val="18"/>
                <w:u w:val="single"/>
              </w:rPr>
              <w:t xml:space="preserve">Ámbito </w:t>
            </w:r>
            <w:proofErr w:type="spellStart"/>
            <w:r w:rsidRPr="00D465F2">
              <w:rPr>
                <w:rFonts w:ascii="Verdana" w:hAnsi="Verdana"/>
                <w:sz w:val="18"/>
                <w:szCs w:val="18"/>
                <w:u w:val="single"/>
              </w:rPr>
              <w:t>Silvoagrícola</w:t>
            </w:r>
            <w:proofErr w:type="spellEnd"/>
            <w:r w:rsidRPr="00D465F2">
              <w:rPr>
                <w:rFonts w:ascii="Verdana" w:hAnsi="Verdana"/>
                <w:sz w:val="18"/>
                <w:szCs w:val="18"/>
                <w:u w:val="single"/>
              </w:rPr>
              <w:t xml:space="preserve"> (Normativas</w:t>
            </w:r>
            <w:r w:rsidR="00BA2E45">
              <w:rPr>
                <w:rFonts w:ascii="Verdana" w:hAnsi="Verdana"/>
                <w:sz w:val="18"/>
                <w:szCs w:val="18"/>
                <w:u w:val="single"/>
              </w:rPr>
              <w:t>:</w:t>
            </w:r>
            <w:r w:rsidRPr="00D465F2">
              <w:rPr>
                <w:rFonts w:ascii="Verdana" w:hAnsi="Verdana"/>
                <w:sz w:val="18"/>
                <w:szCs w:val="18"/>
                <w:u w:val="single"/>
              </w:rPr>
              <w:t xml:space="preserve"> Productores, Distribuidores y Otras instancias de bebidas alcohólicas (Ley de Alcoholes), Viveros y Depósitos de Plantas (Ley de Protección Agrícola)</w:t>
            </w:r>
            <w:r w:rsidR="00CC6DD9">
              <w:rPr>
                <w:rFonts w:ascii="Verdana" w:hAnsi="Verdana"/>
                <w:sz w:val="18"/>
                <w:szCs w:val="18"/>
                <w:u w:val="single"/>
              </w:rPr>
              <w:t>,</w:t>
            </w:r>
            <w:r w:rsidRPr="00D465F2">
              <w:rPr>
                <w:rFonts w:ascii="Verdana" w:hAnsi="Verdana"/>
                <w:sz w:val="18"/>
                <w:szCs w:val="18"/>
                <w:u w:val="single"/>
              </w:rPr>
              <w:t xml:space="preserve"> Uso y aplicación de plaguicidas </w:t>
            </w:r>
            <w:r w:rsidR="00CC6DD9">
              <w:rPr>
                <w:rFonts w:ascii="Verdana" w:hAnsi="Verdana"/>
                <w:sz w:val="18"/>
                <w:szCs w:val="18"/>
                <w:u w:val="single"/>
              </w:rPr>
              <w:t xml:space="preserve">y </w:t>
            </w:r>
            <w:r w:rsidRPr="00D465F2">
              <w:rPr>
                <w:rFonts w:ascii="Verdana" w:hAnsi="Verdana"/>
                <w:sz w:val="18"/>
                <w:szCs w:val="18"/>
                <w:u w:val="single"/>
              </w:rPr>
              <w:t>Comercio de plaguicidas y fertilizantes):</w:t>
            </w:r>
          </w:p>
          <w:p w14:paraId="7B117B59" w14:textId="77777777" w:rsidR="00BA2E45" w:rsidRDefault="00240E96" w:rsidP="00BA2E45">
            <w:pPr>
              <w:jc w:val="both"/>
              <w:rPr>
                <w:rFonts w:ascii="Verdana" w:hAnsi="Verdana"/>
                <w:b w:val="0"/>
                <w:sz w:val="18"/>
                <w:szCs w:val="18"/>
              </w:rPr>
            </w:pPr>
            <w:r>
              <w:rPr>
                <w:rFonts w:ascii="Verdana" w:hAnsi="Verdana"/>
                <w:b w:val="0"/>
                <w:sz w:val="18"/>
                <w:szCs w:val="18"/>
              </w:rPr>
              <w:t xml:space="preserve">En el ámbito </w:t>
            </w:r>
            <w:proofErr w:type="spellStart"/>
            <w:r>
              <w:rPr>
                <w:rFonts w:ascii="Verdana" w:hAnsi="Verdana"/>
                <w:b w:val="0"/>
                <w:sz w:val="18"/>
                <w:szCs w:val="18"/>
              </w:rPr>
              <w:t>Silvoagrícola</w:t>
            </w:r>
            <w:proofErr w:type="spellEnd"/>
            <w:r w:rsidR="00266961" w:rsidRPr="00B92C02">
              <w:rPr>
                <w:rFonts w:ascii="Verdana" w:hAnsi="Verdana"/>
                <w:b w:val="0"/>
                <w:sz w:val="18"/>
                <w:szCs w:val="18"/>
              </w:rPr>
              <w:t xml:space="preserve"> </w:t>
            </w:r>
            <w:r w:rsidR="000F0B98">
              <w:rPr>
                <w:rFonts w:ascii="Verdana" w:hAnsi="Verdana"/>
                <w:b w:val="0"/>
                <w:sz w:val="18"/>
                <w:szCs w:val="18"/>
              </w:rPr>
              <w:t xml:space="preserve">se registraron </w:t>
            </w:r>
            <w:r>
              <w:rPr>
                <w:rFonts w:ascii="Verdana" w:hAnsi="Verdana"/>
                <w:b w:val="0"/>
                <w:sz w:val="18"/>
                <w:szCs w:val="18"/>
              </w:rPr>
              <w:t>14.359</w:t>
            </w:r>
            <w:r w:rsidR="00266961" w:rsidRPr="00B92C02">
              <w:rPr>
                <w:rFonts w:ascii="Verdana" w:hAnsi="Verdana"/>
                <w:b w:val="0"/>
                <w:sz w:val="18"/>
                <w:szCs w:val="18"/>
              </w:rPr>
              <w:t xml:space="preserve"> fiscalizaciones realizadas de un total de 14.0</w:t>
            </w:r>
            <w:r w:rsidR="00BA2E45">
              <w:rPr>
                <w:rFonts w:ascii="Verdana" w:hAnsi="Verdana"/>
                <w:b w:val="0"/>
                <w:sz w:val="18"/>
                <w:szCs w:val="18"/>
              </w:rPr>
              <w:t xml:space="preserve">26 fiscalizaciones programadas, logrando un nivel </w:t>
            </w:r>
            <w:r w:rsidR="00A1528D">
              <w:rPr>
                <w:rFonts w:ascii="Verdana" w:hAnsi="Verdana"/>
                <w:b w:val="0"/>
                <w:sz w:val="18"/>
                <w:szCs w:val="18"/>
              </w:rPr>
              <w:t>el cumplimiento de un 102,4</w:t>
            </w:r>
            <w:r w:rsidR="00266961" w:rsidRPr="00B92C02">
              <w:rPr>
                <w:rFonts w:ascii="Verdana" w:hAnsi="Verdana"/>
                <w:b w:val="0"/>
                <w:sz w:val="18"/>
                <w:szCs w:val="18"/>
              </w:rPr>
              <w:t>%</w:t>
            </w:r>
            <w:r w:rsidR="00BA2E45">
              <w:rPr>
                <w:rFonts w:ascii="Verdana" w:hAnsi="Verdana"/>
                <w:b w:val="0"/>
                <w:sz w:val="18"/>
                <w:szCs w:val="18"/>
              </w:rPr>
              <w:t xml:space="preserve">. </w:t>
            </w:r>
            <w:r w:rsidR="00BA2E45" w:rsidRPr="00BA2E45">
              <w:rPr>
                <w:rFonts w:ascii="Verdana" w:hAnsi="Verdana"/>
                <w:b w:val="0"/>
                <w:sz w:val="18"/>
                <w:szCs w:val="18"/>
              </w:rPr>
              <w:t xml:space="preserve">De total de fiscalizaciones realizadas en </w:t>
            </w:r>
            <w:r w:rsidR="004856CB">
              <w:rPr>
                <w:rFonts w:ascii="Verdana" w:hAnsi="Verdana"/>
                <w:b w:val="0"/>
                <w:sz w:val="18"/>
                <w:szCs w:val="18"/>
              </w:rPr>
              <w:t>este</w:t>
            </w:r>
            <w:r w:rsidR="00BA2E45" w:rsidRPr="00BA2E45">
              <w:rPr>
                <w:rFonts w:ascii="Verdana" w:hAnsi="Verdana"/>
                <w:b w:val="0"/>
                <w:sz w:val="18"/>
                <w:szCs w:val="18"/>
              </w:rPr>
              <w:t xml:space="preserve"> ámbito</w:t>
            </w:r>
            <w:r w:rsidR="004856CB">
              <w:rPr>
                <w:rFonts w:ascii="Verdana" w:hAnsi="Verdana"/>
                <w:b w:val="0"/>
                <w:sz w:val="18"/>
                <w:szCs w:val="18"/>
              </w:rPr>
              <w:t xml:space="preserve">, </w:t>
            </w:r>
            <w:r w:rsidR="00BA2E45" w:rsidRPr="00BA2E45">
              <w:rPr>
                <w:rFonts w:ascii="Verdana" w:hAnsi="Verdana"/>
                <w:b w:val="0"/>
                <w:sz w:val="18"/>
                <w:szCs w:val="18"/>
              </w:rPr>
              <w:t>el 9</w:t>
            </w:r>
            <w:r w:rsidR="004856CB">
              <w:rPr>
                <w:rFonts w:ascii="Verdana" w:hAnsi="Verdana"/>
                <w:b w:val="0"/>
                <w:sz w:val="18"/>
                <w:szCs w:val="18"/>
              </w:rPr>
              <w:t>3</w:t>
            </w:r>
            <w:r w:rsidR="00BA2E45" w:rsidRPr="00BA2E45">
              <w:rPr>
                <w:rFonts w:ascii="Verdana" w:hAnsi="Verdana"/>
                <w:b w:val="0"/>
                <w:sz w:val="18"/>
                <w:szCs w:val="18"/>
              </w:rPr>
              <w:t>,</w:t>
            </w:r>
            <w:r w:rsidR="004856CB">
              <w:rPr>
                <w:rFonts w:ascii="Verdana" w:hAnsi="Verdana"/>
                <w:b w:val="0"/>
                <w:sz w:val="18"/>
                <w:szCs w:val="18"/>
              </w:rPr>
              <w:t>7</w:t>
            </w:r>
            <w:r w:rsidR="00BA2E45" w:rsidRPr="00BA2E45">
              <w:rPr>
                <w:rFonts w:ascii="Verdana" w:hAnsi="Verdana"/>
                <w:b w:val="0"/>
                <w:sz w:val="18"/>
                <w:szCs w:val="18"/>
              </w:rPr>
              <w:t>% resultó con cumplimiento normativo.</w:t>
            </w:r>
          </w:p>
          <w:p w14:paraId="68B60BD3" w14:textId="77777777" w:rsidR="00BA2E45" w:rsidRPr="00BA2E45" w:rsidRDefault="00BA2E45" w:rsidP="00BA2E45">
            <w:pPr>
              <w:jc w:val="both"/>
              <w:rPr>
                <w:rFonts w:ascii="Verdana" w:hAnsi="Verdana"/>
                <w:b w:val="0"/>
                <w:sz w:val="18"/>
                <w:szCs w:val="18"/>
              </w:rPr>
            </w:pPr>
          </w:p>
          <w:p w14:paraId="2AF09FA8" w14:textId="77777777" w:rsidR="000F0B98" w:rsidRDefault="00BA2E45" w:rsidP="000C3AB0">
            <w:pPr>
              <w:jc w:val="both"/>
              <w:rPr>
                <w:rFonts w:ascii="Verdana" w:hAnsi="Verdana"/>
                <w:b w:val="0"/>
                <w:sz w:val="18"/>
                <w:szCs w:val="18"/>
              </w:rPr>
            </w:pPr>
            <w:r>
              <w:rPr>
                <w:rFonts w:ascii="Verdana" w:hAnsi="Verdana"/>
                <w:b w:val="0"/>
                <w:sz w:val="18"/>
                <w:szCs w:val="18"/>
              </w:rPr>
              <w:t xml:space="preserve">A nivel de normativa los niveles de cumplimiento </w:t>
            </w:r>
            <w:r w:rsidR="004856CB">
              <w:rPr>
                <w:rFonts w:ascii="Verdana" w:hAnsi="Verdana"/>
                <w:b w:val="0"/>
                <w:sz w:val="18"/>
                <w:szCs w:val="18"/>
              </w:rPr>
              <w:t xml:space="preserve">del plan anual </w:t>
            </w:r>
            <w:r>
              <w:rPr>
                <w:rFonts w:ascii="Verdana" w:hAnsi="Verdana"/>
                <w:b w:val="0"/>
                <w:sz w:val="18"/>
                <w:szCs w:val="18"/>
              </w:rPr>
              <w:t>fueron:</w:t>
            </w:r>
            <w:r w:rsidR="00266961" w:rsidRPr="00B92C02">
              <w:rPr>
                <w:rFonts w:ascii="Verdana" w:hAnsi="Verdana"/>
                <w:b w:val="0"/>
                <w:sz w:val="18"/>
                <w:szCs w:val="18"/>
              </w:rPr>
              <w:t xml:space="preserve"> </w:t>
            </w:r>
          </w:p>
          <w:p w14:paraId="6C29A920" w14:textId="77777777" w:rsidR="000F0B98" w:rsidRDefault="000F0B98" w:rsidP="000C3AB0">
            <w:pPr>
              <w:jc w:val="both"/>
              <w:rPr>
                <w:rFonts w:ascii="Verdana" w:hAnsi="Verdana"/>
                <w:b w:val="0"/>
                <w:sz w:val="18"/>
                <w:szCs w:val="18"/>
              </w:rPr>
            </w:pPr>
          </w:p>
          <w:p w14:paraId="154A1A34" w14:textId="77777777" w:rsidR="000F0B98" w:rsidRDefault="000F0B98" w:rsidP="000F0B98">
            <w:pPr>
              <w:pStyle w:val="Prrafodelista"/>
              <w:numPr>
                <w:ilvl w:val="0"/>
                <w:numId w:val="17"/>
              </w:numPr>
              <w:jc w:val="both"/>
              <w:rPr>
                <w:rFonts w:ascii="Verdana" w:hAnsi="Verdana"/>
                <w:b w:val="0"/>
                <w:sz w:val="18"/>
                <w:szCs w:val="18"/>
              </w:rPr>
            </w:pPr>
            <w:r>
              <w:rPr>
                <w:rFonts w:ascii="Verdana" w:hAnsi="Verdana"/>
                <w:b w:val="0"/>
                <w:sz w:val="18"/>
                <w:szCs w:val="18"/>
              </w:rPr>
              <w:t>102,2</w:t>
            </w:r>
            <w:r w:rsidR="00BA2E45">
              <w:rPr>
                <w:rFonts w:ascii="Verdana" w:hAnsi="Verdana"/>
                <w:b w:val="0"/>
                <w:sz w:val="18"/>
                <w:szCs w:val="18"/>
              </w:rPr>
              <w:t>% en normativas</w:t>
            </w:r>
            <w:r w:rsidR="00266961" w:rsidRPr="000F0B98">
              <w:rPr>
                <w:rFonts w:ascii="Verdana" w:hAnsi="Verdana"/>
                <w:b w:val="0"/>
                <w:sz w:val="18"/>
                <w:szCs w:val="18"/>
              </w:rPr>
              <w:t xml:space="preserve"> de Ley de Alcoholes (</w:t>
            </w:r>
            <w:r>
              <w:rPr>
                <w:rFonts w:ascii="Verdana" w:hAnsi="Verdana"/>
                <w:b w:val="0"/>
                <w:sz w:val="18"/>
                <w:szCs w:val="18"/>
              </w:rPr>
              <w:t>5</w:t>
            </w:r>
            <w:r w:rsidR="00266961" w:rsidRPr="000F0B98">
              <w:rPr>
                <w:rFonts w:ascii="Verdana" w:hAnsi="Verdana"/>
                <w:b w:val="0"/>
                <w:sz w:val="18"/>
                <w:szCs w:val="18"/>
              </w:rPr>
              <w:t>.</w:t>
            </w:r>
            <w:r>
              <w:rPr>
                <w:rFonts w:ascii="Verdana" w:hAnsi="Verdana"/>
                <w:b w:val="0"/>
                <w:sz w:val="18"/>
                <w:szCs w:val="18"/>
              </w:rPr>
              <w:t>578</w:t>
            </w:r>
            <w:r w:rsidR="00266961" w:rsidRPr="000F0B98">
              <w:rPr>
                <w:rFonts w:ascii="Verdana" w:hAnsi="Verdana"/>
                <w:b w:val="0"/>
                <w:sz w:val="18"/>
                <w:szCs w:val="18"/>
              </w:rPr>
              <w:t xml:space="preserve"> fiscalizaciones realizadas de un total de 5.4</w:t>
            </w:r>
            <w:r w:rsidRPr="000F0B98">
              <w:rPr>
                <w:rFonts w:ascii="Verdana" w:hAnsi="Verdana"/>
                <w:b w:val="0"/>
                <w:sz w:val="18"/>
                <w:szCs w:val="18"/>
              </w:rPr>
              <w:t xml:space="preserve">60 fiscalizaciones </w:t>
            </w:r>
            <w:r w:rsidRPr="00CC6DD9">
              <w:rPr>
                <w:rFonts w:ascii="Verdana" w:hAnsi="Verdana"/>
                <w:b w:val="0"/>
                <w:sz w:val="18"/>
                <w:szCs w:val="18"/>
              </w:rPr>
              <w:t>programadas)</w:t>
            </w:r>
            <w:r w:rsidRPr="00CC6DD9">
              <w:t xml:space="preserve">, </w:t>
            </w:r>
            <w:r w:rsidRPr="00CC6DD9">
              <w:rPr>
                <w:rFonts w:ascii="Verdana" w:hAnsi="Verdana"/>
                <w:b w:val="0"/>
                <w:sz w:val="18"/>
                <w:szCs w:val="18"/>
              </w:rPr>
              <w:t>por</w:t>
            </w:r>
            <w:r w:rsidRPr="000F0B98">
              <w:rPr>
                <w:rFonts w:ascii="Verdana" w:hAnsi="Verdana"/>
                <w:b w:val="0"/>
                <w:sz w:val="18"/>
                <w:szCs w:val="18"/>
              </w:rPr>
              <w:t xml:space="preserve"> ampliación del alcance de los operativos de vendimia en 3 regiones, así como la incorporación de la fiscalización del contenido de agua en vinos, también por aumento de denuncias de terceros sobre distribuidores de bebidas alcohólicas, así como ingreso de nuevos usuarios.</w:t>
            </w:r>
          </w:p>
          <w:p w14:paraId="56DBEDD1" w14:textId="77777777" w:rsidR="000F0B98" w:rsidRPr="000F0B98" w:rsidRDefault="000F0B98" w:rsidP="000F0B98">
            <w:pPr>
              <w:pStyle w:val="Prrafodelista"/>
              <w:ind w:left="1080"/>
              <w:jc w:val="both"/>
              <w:rPr>
                <w:rFonts w:ascii="Verdana" w:hAnsi="Verdana"/>
                <w:b w:val="0"/>
                <w:sz w:val="18"/>
                <w:szCs w:val="18"/>
              </w:rPr>
            </w:pPr>
          </w:p>
          <w:p w14:paraId="4E3F5C38" w14:textId="77777777" w:rsidR="000F0B98" w:rsidRDefault="000F0B98" w:rsidP="000F0B98">
            <w:pPr>
              <w:pStyle w:val="Prrafodelista"/>
              <w:numPr>
                <w:ilvl w:val="0"/>
                <w:numId w:val="17"/>
              </w:numPr>
              <w:jc w:val="both"/>
              <w:rPr>
                <w:rFonts w:ascii="Verdana" w:hAnsi="Verdana"/>
                <w:b w:val="0"/>
                <w:sz w:val="18"/>
                <w:szCs w:val="18"/>
              </w:rPr>
            </w:pPr>
            <w:r>
              <w:rPr>
                <w:rFonts w:ascii="Verdana" w:hAnsi="Verdana"/>
                <w:b w:val="0"/>
                <w:sz w:val="18"/>
                <w:szCs w:val="18"/>
              </w:rPr>
              <w:t>103</w:t>
            </w:r>
            <w:r w:rsidRPr="000F0B98">
              <w:rPr>
                <w:rFonts w:ascii="Verdana" w:hAnsi="Verdana"/>
                <w:b w:val="0"/>
                <w:sz w:val="18"/>
                <w:szCs w:val="18"/>
              </w:rPr>
              <w:t>,</w:t>
            </w:r>
            <w:r w:rsidR="00A1528D">
              <w:rPr>
                <w:rFonts w:ascii="Verdana" w:hAnsi="Verdana"/>
                <w:b w:val="0"/>
                <w:sz w:val="18"/>
                <w:szCs w:val="18"/>
              </w:rPr>
              <w:t>9</w:t>
            </w:r>
            <w:r w:rsidRPr="000F0B98">
              <w:rPr>
                <w:rFonts w:ascii="Verdana" w:hAnsi="Verdana"/>
                <w:b w:val="0"/>
                <w:sz w:val="18"/>
                <w:szCs w:val="18"/>
              </w:rPr>
              <w:t xml:space="preserve">% </w:t>
            </w:r>
            <w:r w:rsidR="00BA2E45">
              <w:rPr>
                <w:rFonts w:ascii="Verdana" w:hAnsi="Verdana"/>
                <w:b w:val="0"/>
                <w:sz w:val="18"/>
                <w:szCs w:val="18"/>
              </w:rPr>
              <w:t>en normativas</w:t>
            </w:r>
            <w:r w:rsidRPr="000F0B98">
              <w:rPr>
                <w:rFonts w:ascii="Verdana" w:hAnsi="Verdana"/>
                <w:b w:val="0"/>
                <w:sz w:val="18"/>
                <w:szCs w:val="18"/>
              </w:rPr>
              <w:t xml:space="preserve"> de viveros y depósitos de plantas (</w:t>
            </w:r>
            <w:r>
              <w:rPr>
                <w:rFonts w:ascii="Verdana" w:hAnsi="Verdana"/>
                <w:b w:val="0"/>
                <w:sz w:val="18"/>
                <w:szCs w:val="18"/>
              </w:rPr>
              <w:t>4.173</w:t>
            </w:r>
            <w:r w:rsidRPr="000F0B98">
              <w:rPr>
                <w:rFonts w:ascii="Verdana" w:hAnsi="Verdana"/>
                <w:b w:val="0"/>
                <w:sz w:val="18"/>
                <w:szCs w:val="18"/>
              </w:rPr>
              <w:t xml:space="preserve"> fiscalizaciones realizadas de 4.017 fiscalizaciones programadas), por inscripción de nuevas entidades y por detección de plagas reglamentadas en 15% de </w:t>
            </w:r>
            <w:r w:rsidR="00CC6DD9">
              <w:rPr>
                <w:rFonts w:ascii="Verdana" w:hAnsi="Verdana"/>
                <w:b w:val="0"/>
                <w:sz w:val="18"/>
                <w:szCs w:val="18"/>
              </w:rPr>
              <w:t xml:space="preserve">los </w:t>
            </w:r>
            <w:r w:rsidRPr="000F0B98">
              <w:rPr>
                <w:rFonts w:ascii="Verdana" w:hAnsi="Verdana"/>
                <w:b w:val="0"/>
                <w:sz w:val="18"/>
                <w:szCs w:val="18"/>
              </w:rPr>
              <w:t>viveros fiscalizados</w:t>
            </w:r>
            <w:r>
              <w:rPr>
                <w:rFonts w:ascii="Verdana" w:hAnsi="Verdana"/>
                <w:b w:val="0"/>
                <w:sz w:val="18"/>
                <w:szCs w:val="18"/>
              </w:rPr>
              <w:t>; y,</w:t>
            </w:r>
          </w:p>
          <w:p w14:paraId="6FC19C65" w14:textId="77777777" w:rsidR="000F0B98" w:rsidRPr="000F0B98" w:rsidRDefault="000F0B98" w:rsidP="000F0B98">
            <w:pPr>
              <w:pStyle w:val="Prrafodelista"/>
              <w:rPr>
                <w:rFonts w:ascii="Verdana" w:hAnsi="Verdana"/>
                <w:sz w:val="18"/>
                <w:szCs w:val="18"/>
              </w:rPr>
            </w:pPr>
          </w:p>
          <w:p w14:paraId="7199B68A" w14:textId="77777777" w:rsidR="00BA2E45" w:rsidRPr="0059613C" w:rsidRDefault="00A1528D" w:rsidP="000C3AB0">
            <w:pPr>
              <w:pStyle w:val="Prrafodelista"/>
              <w:numPr>
                <w:ilvl w:val="0"/>
                <w:numId w:val="17"/>
              </w:numPr>
              <w:jc w:val="both"/>
              <w:rPr>
                <w:rFonts w:ascii="Verdana" w:hAnsi="Verdana"/>
                <w:b w:val="0"/>
                <w:sz w:val="18"/>
                <w:szCs w:val="18"/>
              </w:rPr>
            </w:pPr>
            <w:r>
              <w:rPr>
                <w:rFonts w:ascii="Verdana" w:hAnsi="Verdana"/>
                <w:b w:val="0"/>
                <w:sz w:val="18"/>
                <w:szCs w:val="18"/>
              </w:rPr>
              <w:t>101,3</w:t>
            </w:r>
            <w:r w:rsidR="00266961" w:rsidRPr="000F0B98">
              <w:rPr>
                <w:rFonts w:ascii="Verdana" w:hAnsi="Verdana"/>
                <w:b w:val="0"/>
                <w:sz w:val="18"/>
                <w:szCs w:val="18"/>
              </w:rPr>
              <w:t xml:space="preserve">% en </w:t>
            </w:r>
            <w:r w:rsidR="00BA2E45">
              <w:rPr>
                <w:rFonts w:ascii="Verdana" w:hAnsi="Verdana"/>
                <w:b w:val="0"/>
                <w:sz w:val="18"/>
                <w:szCs w:val="18"/>
              </w:rPr>
              <w:t>normativas</w:t>
            </w:r>
            <w:r w:rsidR="00266961" w:rsidRPr="000F0B98">
              <w:rPr>
                <w:rFonts w:ascii="Verdana" w:hAnsi="Verdana"/>
                <w:b w:val="0"/>
                <w:sz w:val="18"/>
                <w:szCs w:val="18"/>
              </w:rPr>
              <w:t xml:space="preserve"> de uso y comercio de Plaguicidas y Fertilizantes (</w:t>
            </w:r>
            <w:r w:rsidR="000F0B98">
              <w:rPr>
                <w:rFonts w:ascii="Verdana" w:hAnsi="Verdana"/>
                <w:b w:val="0"/>
                <w:sz w:val="18"/>
                <w:szCs w:val="18"/>
              </w:rPr>
              <w:t>4</w:t>
            </w:r>
            <w:r w:rsidR="00266961" w:rsidRPr="000F0B98">
              <w:rPr>
                <w:rFonts w:ascii="Verdana" w:hAnsi="Verdana"/>
                <w:b w:val="0"/>
                <w:sz w:val="18"/>
                <w:szCs w:val="18"/>
              </w:rPr>
              <w:t>.</w:t>
            </w:r>
            <w:r w:rsidR="000F0B98">
              <w:rPr>
                <w:rFonts w:ascii="Verdana" w:hAnsi="Verdana"/>
                <w:b w:val="0"/>
                <w:sz w:val="18"/>
                <w:szCs w:val="18"/>
              </w:rPr>
              <w:t>608</w:t>
            </w:r>
            <w:r w:rsidR="00266961" w:rsidRPr="000F0B98">
              <w:rPr>
                <w:rFonts w:ascii="Verdana" w:hAnsi="Verdana"/>
                <w:b w:val="0"/>
                <w:sz w:val="18"/>
                <w:szCs w:val="18"/>
              </w:rPr>
              <w:t xml:space="preserve"> fiscalizaciones realizadas de 4.549</w:t>
            </w:r>
            <w:r w:rsidR="000F0B98">
              <w:rPr>
                <w:rFonts w:ascii="Verdana" w:hAnsi="Verdana"/>
                <w:b w:val="0"/>
                <w:sz w:val="18"/>
                <w:szCs w:val="18"/>
              </w:rPr>
              <w:t xml:space="preserve"> fiscalizaciones programadas)</w:t>
            </w:r>
            <w:r>
              <w:rPr>
                <w:rFonts w:ascii="Verdana" w:hAnsi="Verdana"/>
                <w:b w:val="0"/>
                <w:sz w:val="18"/>
                <w:szCs w:val="18"/>
              </w:rPr>
              <w:t>,</w:t>
            </w:r>
            <w:r w:rsidR="000F0B98">
              <w:t xml:space="preserve"> </w:t>
            </w:r>
            <w:r w:rsidR="000F0B98" w:rsidRPr="000F0B98">
              <w:rPr>
                <w:rFonts w:ascii="Verdana" w:hAnsi="Verdana"/>
                <w:b w:val="0"/>
                <w:sz w:val="18"/>
                <w:szCs w:val="18"/>
              </w:rPr>
              <w:t xml:space="preserve">debido a detecciones de incumplimientos por mal uso de plaguicidas, </w:t>
            </w:r>
            <w:r w:rsidR="00BA2E45">
              <w:rPr>
                <w:rFonts w:ascii="Verdana" w:hAnsi="Verdana"/>
                <w:b w:val="0"/>
                <w:sz w:val="18"/>
                <w:szCs w:val="18"/>
              </w:rPr>
              <w:t xml:space="preserve">y </w:t>
            </w:r>
            <w:r w:rsidR="000F0B98" w:rsidRPr="000F0B98">
              <w:rPr>
                <w:rFonts w:ascii="Verdana" w:hAnsi="Verdana"/>
                <w:b w:val="0"/>
                <w:sz w:val="18"/>
                <w:szCs w:val="18"/>
              </w:rPr>
              <w:t>algunas</w:t>
            </w:r>
            <w:r w:rsidR="00BA2E45">
              <w:rPr>
                <w:rFonts w:ascii="Verdana" w:hAnsi="Verdana"/>
                <w:b w:val="0"/>
                <w:sz w:val="18"/>
                <w:szCs w:val="18"/>
              </w:rPr>
              <w:t xml:space="preserve"> derivadas</w:t>
            </w:r>
            <w:r w:rsidR="000F0B98" w:rsidRPr="000F0B98">
              <w:rPr>
                <w:rFonts w:ascii="Verdana" w:hAnsi="Verdana"/>
                <w:b w:val="0"/>
                <w:sz w:val="18"/>
                <w:szCs w:val="18"/>
              </w:rPr>
              <w:t xml:space="preserve"> del Programa de monitoreo de residuos y/o por verificación de implementación de medidas ordenadas por el SAG</w:t>
            </w:r>
            <w:r w:rsidR="000F0B98">
              <w:rPr>
                <w:rFonts w:ascii="Verdana" w:hAnsi="Verdana"/>
                <w:b w:val="0"/>
                <w:sz w:val="18"/>
                <w:szCs w:val="18"/>
              </w:rPr>
              <w:t>.</w:t>
            </w:r>
          </w:p>
          <w:p w14:paraId="30FCC30C" w14:textId="77777777" w:rsidR="00BA2E45" w:rsidRDefault="00BA2E45" w:rsidP="000C3AB0">
            <w:pPr>
              <w:jc w:val="both"/>
              <w:rPr>
                <w:rFonts w:ascii="Verdana" w:hAnsi="Verdana"/>
                <w:b w:val="0"/>
                <w:sz w:val="18"/>
                <w:szCs w:val="18"/>
              </w:rPr>
            </w:pPr>
          </w:p>
          <w:p w14:paraId="6BD36106" w14:textId="77777777" w:rsidR="00A71D05" w:rsidRDefault="00654109" w:rsidP="00A71D05">
            <w:pPr>
              <w:jc w:val="both"/>
              <w:rPr>
                <w:rFonts w:ascii="Verdana" w:hAnsi="Verdana"/>
                <w:sz w:val="18"/>
                <w:szCs w:val="18"/>
              </w:rPr>
            </w:pPr>
            <w:r>
              <w:rPr>
                <w:rFonts w:ascii="Verdana" w:hAnsi="Verdana"/>
                <w:sz w:val="18"/>
                <w:szCs w:val="18"/>
                <w:u w:val="single"/>
              </w:rPr>
              <w:t xml:space="preserve">Ámbito </w:t>
            </w:r>
            <w:r w:rsidR="00A71D05" w:rsidRPr="00D465F2">
              <w:rPr>
                <w:rFonts w:ascii="Verdana" w:hAnsi="Verdana"/>
                <w:sz w:val="18"/>
                <w:szCs w:val="18"/>
                <w:u w:val="single"/>
              </w:rPr>
              <w:t>Recursos Naturales Renovables (Normativas</w:t>
            </w:r>
            <w:r w:rsidR="00BA2E45">
              <w:rPr>
                <w:rFonts w:ascii="Verdana" w:hAnsi="Verdana"/>
                <w:sz w:val="18"/>
                <w:szCs w:val="18"/>
                <w:u w:val="single"/>
              </w:rPr>
              <w:t>:</w:t>
            </w:r>
            <w:r w:rsidR="00A71D05" w:rsidRPr="00D465F2">
              <w:rPr>
                <w:rFonts w:ascii="Verdana" w:hAnsi="Verdana"/>
                <w:sz w:val="18"/>
                <w:szCs w:val="18"/>
                <w:u w:val="single"/>
              </w:rPr>
              <w:t xml:space="preserve"> Sistema nacional de certificación de productos orgánicos agrícolas y Tenedores de fauna silvestre):</w:t>
            </w:r>
            <w:r w:rsidR="00A71D05" w:rsidRPr="00D465F2">
              <w:rPr>
                <w:rFonts w:ascii="Verdana" w:hAnsi="Verdana"/>
                <w:sz w:val="18"/>
                <w:szCs w:val="18"/>
              </w:rPr>
              <w:t xml:space="preserve"> </w:t>
            </w:r>
          </w:p>
          <w:p w14:paraId="273E0FD4" w14:textId="77777777" w:rsidR="00BA2E45" w:rsidRDefault="00BA2E45" w:rsidP="004D5E3C">
            <w:pPr>
              <w:jc w:val="both"/>
              <w:rPr>
                <w:rFonts w:ascii="Verdana" w:hAnsi="Verdana"/>
                <w:b w:val="0"/>
                <w:sz w:val="18"/>
                <w:szCs w:val="18"/>
              </w:rPr>
            </w:pPr>
            <w:r>
              <w:rPr>
                <w:rFonts w:ascii="Verdana" w:hAnsi="Verdana"/>
                <w:b w:val="0"/>
                <w:sz w:val="18"/>
                <w:szCs w:val="18"/>
              </w:rPr>
              <w:t>En el ámbito de Recursos Naturales Renovables, se registraron</w:t>
            </w:r>
            <w:r w:rsidR="000D75D2" w:rsidRPr="00B92C02">
              <w:rPr>
                <w:rFonts w:ascii="Verdana" w:hAnsi="Verdana"/>
                <w:b w:val="0"/>
                <w:sz w:val="18"/>
                <w:szCs w:val="18"/>
              </w:rPr>
              <w:t xml:space="preserve"> </w:t>
            </w:r>
            <w:r>
              <w:rPr>
                <w:rFonts w:ascii="Verdana" w:hAnsi="Verdana"/>
                <w:b w:val="0"/>
                <w:sz w:val="18"/>
                <w:szCs w:val="18"/>
              </w:rPr>
              <w:t>973</w:t>
            </w:r>
            <w:r w:rsidR="000D75D2" w:rsidRPr="00B92C02">
              <w:rPr>
                <w:rFonts w:ascii="Verdana" w:hAnsi="Verdana"/>
                <w:b w:val="0"/>
                <w:sz w:val="18"/>
                <w:szCs w:val="18"/>
              </w:rPr>
              <w:t xml:space="preserve"> fiscalizaciones de un total de 9</w:t>
            </w:r>
            <w:r>
              <w:rPr>
                <w:rFonts w:ascii="Verdana" w:hAnsi="Verdana"/>
                <w:b w:val="0"/>
                <w:sz w:val="18"/>
                <w:szCs w:val="18"/>
              </w:rPr>
              <w:t xml:space="preserve">71 </w:t>
            </w:r>
            <w:r w:rsidR="00536B6F">
              <w:rPr>
                <w:rFonts w:ascii="Verdana" w:hAnsi="Verdana"/>
                <w:b w:val="0"/>
                <w:sz w:val="18"/>
                <w:szCs w:val="18"/>
              </w:rPr>
              <w:t xml:space="preserve">fiscalizaciones programadas, </w:t>
            </w:r>
            <w:r w:rsidR="00536B6F" w:rsidRPr="00B92C02">
              <w:rPr>
                <w:rFonts w:ascii="Verdana" w:hAnsi="Verdana"/>
                <w:b w:val="0"/>
                <w:sz w:val="18"/>
                <w:szCs w:val="18"/>
              </w:rPr>
              <w:t xml:space="preserve">con un nivel de </w:t>
            </w:r>
            <w:r w:rsidR="00536B6F">
              <w:rPr>
                <w:rFonts w:ascii="Verdana" w:hAnsi="Verdana"/>
                <w:b w:val="0"/>
                <w:sz w:val="18"/>
                <w:szCs w:val="18"/>
              </w:rPr>
              <w:t>cumplimiento</w:t>
            </w:r>
            <w:r w:rsidR="00536B6F" w:rsidRPr="00B92C02">
              <w:rPr>
                <w:rFonts w:ascii="Verdana" w:hAnsi="Verdana"/>
                <w:b w:val="0"/>
                <w:sz w:val="18"/>
                <w:szCs w:val="18"/>
              </w:rPr>
              <w:t xml:space="preserve"> respecto del plan anual </w:t>
            </w:r>
            <w:r>
              <w:rPr>
                <w:rFonts w:ascii="Verdana" w:hAnsi="Verdana"/>
                <w:b w:val="0"/>
                <w:sz w:val="18"/>
                <w:szCs w:val="18"/>
              </w:rPr>
              <w:t>de un 100,2</w:t>
            </w:r>
            <w:r w:rsidR="00536B6F">
              <w:rPr>
                <w:rFonts w:ascii="Verdana" w:hAnsi="Verdana"/>
                <w:b w:val="0"/>
                <w:sz w:val="18"/>
                <w:szCs w:val="18"/>
              </w:rPr>
              <w:t>%.</w:t>
            </w:r>
            <w:r w:rsidR="00536B6F">
              <w:t xml:space="preserve"> </w:t>
            </w:r>
            <w:r w:rsidR="00536B6F" w:rsidRPr="00536B6F">
              <w:rPr>
                <w:rFonts w:ascii="Verdana" w:hAnsi="Verdana"/>
                <w:b w:val="0"/>
                <w:sz w:val="18"/>
                <w:szCs w:val="18"/>
              </w:rPr>
              <w:t xml:space="preserve">De total de fiscalizaciones realizadas en </w:t>
            </w:r>
            <w:r w:rsidR="004856CB">
              <w:rPr>
                <w:rFonts w:ascii="Verdana" w:hAnsi="Verdana"/>
                <w:b w:val="0"/>
                <w:sz w:val="18"/>
                <w:szCs w:val="18"/>
              </w:rPr>
              <w:t>este ámbito</w:t>
            </w:r>
            <w:r w:rsidR="00536B6F" w:rsidRPr="00536B6F">
              <w:rPr>
                <w:rFonts w:ascii="Verdana" w:hAnsi="Verdana"/>
                <w:b w:val="0"/>
                <w:sz w:val="18"/>
                <w:szCs w:val="18"/>
              </w:rPr>
              <w:t xml:space="preserve">, el </w:t>
            </w:r>
            <w:r w:rsidR="00536B6F">
              <w:rPr>
                <w:rFonts w:ascii="Verdana" w:hAnsi="Verdana"/>
                <w:b w:val="0"/>
                <w:sz w:val="18"/>
                <w:szCs w:val="18"/>
              </w:rPr>
              <w:t>88</w:t>
            </w:r>
            <w:r w:rsidR="00536B6F" w:rsidRPr="00536B6F">
              <w:rPr>
                <w:rFonts w:ascii="Verdana" w:hAnsi="Verdana"/>
                <w:b w:val="0"/>
                <w:sz w:val="18"/>
                <w:szCs w:val="18"/>
              </w:rPr>
              <w:t>,</w:t>
            </w:r>
            <w:r w:rsidR="00536B6F">
              <w:rPr>
                <w:rFonts w:ascii="Verdana" w:hAnsi="Verdana"/>
                <w:b w:val="0"/>
                <w:sz w:val="18"/>
                <w:szCs w:val="18"/>
              </w:rPr>
              <w:t>8</w:t>
            </w:r>
            <w:r w:rsidR="00536B6F" w:rsidRPr="00536B6F">
              <w:rPr>
                <w:rFonts w:ascii="Verdana" w:hAnsi="Verdana"/>
                <w:b w:val="0"/>
                <w:sz w:val="18"/>
                <w:szCs w:val="18"/>
              </w:rPr>
              <w:t>% resultó con cumplimiento normativo.</w:t>
            </w:r>
          </w:p>
          <w:p w14:paraId="12F1FA2E" w14:textId="77777777" w:rsidR="00BA2E45" w:rsidRDefault="00BA2E45" w:rsidP="004D5E3C">
            <w:pPr>
              <w:jc w:val="both"/>
              <w:rPr>
                <w:rFonts w:ascii="Verdana" w:hAnsi="Verdana"/>
                <w:b w:val="0"/>
                <w:sz w:val="18"/>
                <w:szCs w:val="18"/>
              </w:rPr>
            </w:pPr>
          </w:p>
          <w:p w14:paraId="3C28ACCE" w14:textId="77777777" w:rsidR="0059613C" w:rsidRDefault="0059613C" w:rsidP="004D5E3C">
            <w:pPr>
              <w:jc w:val="both"/>
              <w:rPr>
                <w:rFonts w:ascii="Verdana" w:hAnsi="Verdana"/>
                <w:b w:val="0"/>
                <w:sz w:val="18"/>
                <w:szCs w:val="18"/>
              </w:rPr>
            </w:pPr>
          </w:p>
          <w:p w14:paraId="7F7A26E2" w14:textId="77777777" w:rsidR="00BA2E45" w:rsidRDefault="00BA2E45" w:rsidP="00BA2E45">
            <w:pPr>
              <w:jc w:val="both"/>
              <w:rPr>
                <w:rFonts w:ascii="Verdana" w:hAnsi="Verdana"/>
                <w:b w:val="0"/>
                <w:sz w:val="18"/>
                <w:szCs w:val="18"/>
              </w:rPr>
            </w:pPr>
            <w:r>
              <w:rPr>
                <w:rFonts w:ascii="Verdana" w:hAnsi="Verdana"/>
                <w:b w:val="0"/>
                <w:sz w:val="18"/>
                <w:szCs w:val="18"/>
              </w:rPr>
              <w:t>A nivel de normativa los niveles de cumplimiento fueron:</w:t>
            </w:r>
            <w:r w:rsidRPr="00B92C02">
              <w:rPr>
                <w:rFonts w:ascii="Verdana" w:hAnsi="Verdana"/>
                <w:b w:val="0"/>
                <w:sz w:val="18"/>
                <w:szCs w:val="18"/>
              </w:rPr>
              <w:t xml:space="preserve"> </w:t>
            </w:r>
          </w:p>
          <w:p w14:paraId="0C32BA52" w14:textId="77777777" w:rsidR="00BA2E45" w:rsidRDefault="00BA2E45" w:rsidP="00BA2E45">
            <w:pPr>
              <w:jc w:val="both"/>
              <w:rPr>
                <w:rFonts w:ascii="Verdana" w:hAnsi="Verdana"/>
                <w:b w:val="0"/>
                <w:sz w:val="18"/>
                <w:szCs w:val="18"/>
              </w:rPr>
            </w:pPr>
          </w:p>
          <w:p w14:paraId="112285FA" w14:textId="76899F2E" w:rsidR="00BA2E45" w:rsidRPr="008965D6" w:rsidRDefault="00BA2E45" w:rsidP="004856CB">
            <w:pPr>
              <w:pStyle w:val="Prrafodelista"/>
              <w:numPr>
                <w:ilvl w:val="0"/>
                <w:numId w:val="18"/>
              </w:numPr>
              <w:jc w:val="both"/>
              <w:rPr>
                <w:rFonts w:ascii="Verdana" w:hAnsi="Verdana"/>
                <w:b w:val="0"/>
                <w:sz w:val="18"/>
                <w:szCs w:val="18"/>
              </w:rPr>
            </w:pPr>
            <w:r>
              <w:rPr>
                <w:rFonts w:ascii="Verdana" w:hAnsi="Verdana"/>
                <w:b w:val="0"/>
                <w:sz w:val="18"/>
                <w:szCs w:val="18"/>
              </w:rPr>
              <w:t>100% en normativa</w:t>
            </w:r>
            <w:r w:rsidRPr="000F0B98">
              <w:rPr>
                <w:rFonts w:ascii="Verdana" w:hAnsi="Verdana"/>
                <w:b w:val="0"/>
                <w:sz w:val="18"/>
                <w:szCs w:val="18"/>
              </w:rPr>
              <w:t xml:space="preserve"> </w:t>
            </w:r>
            <w:r w:rsidR="004856CB">
              <w:rPr>
                <w:rFonts w:ascii="Verdana" w:hAnsi="Verdana"/>
                <w:b w:val="0"/>
                <w:sz w:val="18"/>
                <w:szCs w:val="18"/>
              </w:rPr>
              <w:t xml:space="preserve">del </w:t>
            </w:r>
            <w:r w:rsidR="004856CB" w:rsidRPr="004856CB">
              <w:rPr>
                <w:rFonts w:ascii="Verdana" w:hAnsi="Verdana"/>
                <w:b w:val="0"/>
                <w:sz w:val="18"/>
                <w:szCs w:val="18"/>
              </w:rPr>
              <w:t xml:space="preserve">Sistema nacional de certificación de productos orgánicos agrícolas </w:t>
            </w:r>
            <w:r w:rsidRPr="000F0B98">
              <w:rPr>
                <w:rFonts w:ascii="Verdana" w:hAnsi="Verdana"/>
                <w:b w:val="0"/>
                <w:sz w:val="18"/>
                <w:szCs w:val="18"/>
              </w:rPr>
              <w:t>(</w:t>
            </w:r>
            <w:r w:rsidR="00C66212">
              <w:rPr>
                <w:rFonts w:ascii="Verdana" w:hAnsi="Verdana"/>
                <w:b w:val="0"/>
                <w:sz w:val="18"/>
                <w:szCs w:val="18"/>
              </w:rPr>
              <w:t>495</w:t>
            </w:r>
            <w:r w:rsidRPr="000F0B98">
              <w:rPr>
                <w:rFonts w:ascii="Verdana" w:hAnsi="Verdana"/>
                <w:b w:val="0"/>
                <w:sz w:val="18"/>
                <w:szCs w:val="18"/>
              </w:rPr>
              <w:t xml:space="preserve"> fiscalizaciones realizadas de un total de </w:t>
            </w:r>
            <w:r w:rsidR="00C66212">
              <w:rPr>
                <w:rFonts w:ascii="Verdana" w:hAnsi="Verdana"/>
                <w:b w:val="0"/>
                <w:sz w:val="18"/>
                <w:szCs w:val="18"/>
              </w:rPr>
              <w:t>495</w:t>
            </w:r>
            <w:r w:rsidRPr="000F0B98">
              <w:rPr>
                <w:rFonts w:ascii="Verdana" w:hAnsi="Verdana"/>
                <w:b w:val="0"/>
                <w:sz w:val="18"/>
                <w:szCs w:val="18"/>
              </w:rPr>
              <w:t xml:space="preserve"> fiscalizaciones programadas</w:t>
            </w:r>
            <w:r w:rsidRPr="008965D6">
              <w:rPr>
                <w:rFonts w:ascii="Verdana" w:hAnsi="Verdana"/>
                <w:b w:val="0"/>
                <w:sz w:val="18"/>
                <w:szCs w:val="18"/>
              </w:rPr>
              <w:t>)</w:t>
            </w:r>
            <w:r w:rsidR="008965D6" w:rsidRPr="008965D6">
              <w:rPr>
                <w:b w:val="0"/>
              </w:rPr>
              <w:t xml:space="preserve">. Cabe destacar </w:t>
            </w:r>
            <w:r w:rsidR="00536B6F">
              <w:rPr>
                <w:b w:val="0"/>
              </w:rPr>
              <w:t xml:space="preserve">que </w:t>
            </w:r>
            <w:r w:rsidR="008965D6">
              <w:rPr>
                <w:b w:val="0"/>
              </w:rPr>
              <w:t xml:space="preserve">se ajustó el Plan Anual Inicial en esta normativa, </w:t>
            </w:r>
            <w:r w:rsidR="008965D6">
              <w:rPr>
                <w:rFonts w:ascii="Verdana" w:hAnsi="Verdana"/>
                <w:b w:val="0"/>
                <w:sz w:val="18"/>
                <w:szCs w:val="18"/>
              </w:rPr>
              <w:t>a</w:t>
            </w:r>
            <w:r w:rsidR="00536B6F">
              <w:rPr>
                <w:rFonts w:ascii="Verdana" w:hAnsi="Verdana"/>
                <w:b w:val="0"/>
                <w:sz w:val="18"/>
                <w:szCs w:val="18"/>
              </w:rPr>
              <w:t>dicionando</w:t>
            </w:r>
            <w:r w:rsidR="008965D6" w:rsidRPr="008965D6">
              <w:rPr>
                <w:rFonts w:ascii="Verdana" w:hAnsi="Verdana"/>
                <w:b w:val="0"/>
                <w:sz w:val="18"/>
                <w:szCs w:val="18"/>
              </w:rPr>
              <w:t xml:space="preserve"> </w:t>
            </w:r>
            <w:r w:rsidR="008965D6">
              <w:rPr>
                <w:rFonts w:ascii="Verdana" w:hAnsi="Verdana"/>
                <w:b w:val="0"/>
                <w:sz w:val="18"/>
                <w:szCs w:val="18"/>
              </w:rPr>
              <w:t xml:space="preserve">33 </w:t>
            </w:r>
            <w:r w:rsidR="008965D6" w:rsidRPr="008965D6">
              <w:rPr>
                <w:rFonts w:ascii="Verdana" w:hAnsi="Verdana"/>
                <w:b w:val="0"/>
                <w:sz w:val="18"/>
                <w:szCs w:val="18"/>
              </w:rPr>
              <w:t>fiscalizaciones</w:t>
            </w:r>
            <w:r w:rsidR="008965D6">
              <w:rPr>
                <w:rFonts w:ascii="Verdana" w:hAnsi="Verdana"/>
                <w:b w:val="0"/>
                <w:sz w:val="18"/>
                <w:szCs w:val="18"/>
              </w:rPr>
              <w:t xml:space="preserve"> </w:t>
            </w:r>
            <w:r w:rsidR="00536B6F">
              <w:rPr>
                <w:rFonts w:ascii="Verdana" w:hAnsi="Verdana"/>
                <w:b w:val="0"/>
                <w:sz w:val="18"/>
                <w:szCs w:val="18"/>
              </w:rPr>
              <w:t xml:space="preserve">debido a </w:t>
            </w:r>
            <w:r w:rsidR="008965D6" w:rsidRPr="008965D6">
              <w:rPr>
                <w:rFonts w:ascii="Verdana" w:hAnsi="Verdana"/>
                <w:b w:val="0"/>
                <w:sz w:val="18"/>
                <w:szCs w:val="18"/>
              </w:rPr>
              <w:t>compromisos presidenciales-ministeriales,</w:t>
            </w:r>
            <w:r w:rsidR="008965D6">
              <w:rPr>
                <w:rFonts w:ascii="Verdana" w:hAnsi="Verdana"/>
                <w:b w:val="0"/>
                <w:sz w:val="18"/>
                <w:szCs w:val="18"/>
              </w:rPr>
              <w:t xml:space="preserve"> </w:t>
            </w:r>
            <w:r w:rsidR="008965D6" w:rsidRPr="008965D6">
              <w:rPr>
                <w:rFonts w:ascii="Verdana" w:hAnsi="Verdana"/>
                <w:b w:val="0"/>
                <w:sz w:val="18"/>
                <w:szCs w:val="18"/>
              </w:rPr>
              <w:t>las medidas de control sobre la producción orgánica y la oportunidad de abrir nuevos merc</w:t>
            </w:r>
            <w:r w:rsidR="008965D6">
              <w:rPr>
                <w:rFonts w:ascii="Verdana" w:hAnsi="Verdana"/>
                <w:b w:val="0"/>
                <w:sz w:val="18"/>
                <w:szCs w:val="18"/>
              </w:rPr>
              <w:t>ados.</w:t>
            </w:r>
          </w:p>
          <w:p w14:paraId="747A8569" w14:textId="77777777" w:rsidR="00BA2E45" w:rsidRPr="000F0B98" w:rsidRDefault="00BA2E45" w:rsidP="00BA2E45">
            <w:pPr>
              <w:pStyle w:val="Prrafodelista"/>
              <w:ind w:left="1080"/>
              <w:jc w:val="both"/>
              <w:rPr>
                <w:rFonts w:ascii="Verdana" w:hAnsi="Verdana"/>
                <w:b w:val="0"/>
                <w:sz w:val="18"/>
                <w:szCs w:val="18"/>
              </w:rPr>
            </w:pPr>
          </w:p>
          <w:p w14:paraId="1B5CF2D3" w14:textId="77777777" w:rsidR="00BA2E45" w:rsidRPr="004856CB" w:rsidRDefault="00BA2E45" w:rsidP="004856CB">
            <w:pPr>
              <w:pStyle w:val="Prrafodelista"/>
              <w:numPr>
                <w:ilvl w:val="0"/>
                <w:numId w:val="18"/>
              </w:numPr>
              <w:jc w:val="both"/>
              <w:rPr>
                <w:rFonts w:ascii="Verdana" w:hAnsi="Verdana"/>
                <w:sz w:val="18"/>
                <w:szCs w:val="18"/>
              </w:rPr>
            </w:pPr>
            <w:r w:rsidRPr="004856CB">
              <w:rPr>
                <w:rFonts w:ascii="Verdana" w:hAnsi="Verdana"/>
                <w:b w:val="0"/>
                <w:sz w:val="18"/>
                <w:szCs w:val="18"/>
              </w:rPr>
              <w:t>10</w:t>
            </w:r>
            <w:r w:rsidR="00536B6F" w:rsidRPr="004856CB">
              <w:rPr>
                <w:rFonts w:ascii="Verdana" w:hAnsi="Verdana"/>
                <w:b w:val="0"/>
                <w:sz w:val="18"/>
                <w:szCs w:val="18"/>
              </w:rPr>
              <w:t>0</w:t>
            </w:r>
            <w:r w:rsidRPr="004856CB">
              <w:rPr>
                <w:rFonts w:ascii="Verdana" w:hAnsi="Verdana"/>
                <w:b w:val="0"/>
                <w:sz w:val="18"/>
                <w:szCs w:val="18"/>
              </w:rPr>
              <w:t>,</w:t>
            </w:r>
            <w:r w:rsidR="00536B6F" w:rsidRPr="004856CB">
              <w:rPr>
                <w:rFonts w:ascii="Verdana" w:hAnsi="Verdana"/>
                <w:b w:val="0"/>
                <w:sz w:val="18"/>
                <w:szCs w:val="18"/>
              </w:rPr>
              <w:t>4</w:t>
            </w:r>
            <w:r w:rsidRPr="004856CB">
              <w:rPr>
                <w:rFonts w:ascii="Verdana" w:hAnsi="Verdana"/>
                <w:b w:val="0"/>
                <w:sz w:val="18"/>
                <w:szCs w:val="18"/>
              </w:rPr>
              <w:t>% en normativa</w:t>
            </w:r>
            <w:r w:rsidR="004856CB" w:rsidRPr="004856CB">
              <w:rPr>
                <w:rFonts w:ascii="Verdana" w:hAnsi="Verdana"/>
                <w:b w:val="0"/>
                <w:sz w:val="18"/>
                <w:szCs w:val="18"/>
              </w:rPr>
              <w:t xml:space="preserve"> de Tenedores de fauna silvestre </w:t>
            </w:r>
            <w:r w:rsidRPr="004856CB">
              <w:rPr>
                <w:rFonts w:ascii="Verdana" w:hAnsi="Verdana"/>
                <w:b w:val="0"/>
                <w:sz w:val="18"/>
                <w:szCs w:val="18"/>
              </w:rPr>
              <w:t>(</w:t>
            </w:r>
            <w:r w:rsidR="004856CB" w:rsidRPr="004856CB">
              <w:rPr>
                <w:rFonts w:ascii="Verdana" w:hAnsi="Verdana"/>
                <w:b w:val="0"/>
                <w:sz w:val="18"/>
                <w:szCs w:val="18"/>
              </w:rPr>
              <w:t xml:space="preserve">478 </w:t>
            </w:r>
            <w:r w:rsidRPr="004856CB">
              <w:rPr>
                <w:rFonts w:ascii="Verdana" w:hAnsi="Verdana"/>
                <w:b w:val="0"/>
                <w:sz w:val="18"/>
                <w:szCs w:val="18"/>
              </w:rPr>
              <w:t>fiscalizaciones realizadas de 4</w:t>
            </w:r>
            <w:r w:rsidR="004856CB" w:rsidRPr="004856CB">
              <w:rPr>
                <w:rFonts w:ascii="Verdana" w:hAnsi="Verdana"/>
                <w:b w:val="0"/>
                <w:sz w:val="18"/>
                <w:szCs w:val="18"/>
              </w:rPr>
              <w:t>76</w:t>
            </w:r>
            <w:r w:rsidRPr="004856CB">
              <w:rPr>
                <w:rFonts w:ascii="Verdana" w:hAnsi="Verdana"/>
                <w:b w:val="0"/>
                <w:sz w:val="18"/>
                <w:szCs w:val="18"/>
              </w:rPr>
              <w:t xml:space="preserve"> fiscalizaciones programadas),</w:t>
            </w:r>
            <w:r w:rsidRPr="004856CB">
              <w:t xml:space="preserve"> </w:t>
            </w:r>
            <w:r w:rsidRPr="004856CB">
              <w:rPr>
                <w:rFonts w:ascii="Verdana" w:hAnsi="Verdana"/>
                <w:b w:val="0"/>
                <w:sz w:val="18"/>
                <w:szCs w:val="18"/>
              </w:rPr>
              <w:t xml:space="preserve">debido </w:t>
            </w:r>
            <w:r w:rsidR="004856CB">
              <w:rPr>
                <w:rFonts w:ascii="Verdana" w:hAnsi="Verdana"/>
                <w:b w:val="0"/>
                <w:sz w:val="18"/>
                <w:szCs w:val="18"/>
              </w:rPr>
              <w:t>a</w:t>
            </w:r>
            <w:r w:rsidR="004856CB" w:rsidRPr="004856CB">
              <w:rPr>
                <w:rFonts w:ascii="Verdana" w:hAnsi="Verdana"/>
                <w:b w:val="0"/>
                <w:sz w:val="18"/>
                <w:szCs w:val="18"/>
              </w:rPr>
              <w:t xml:space="preserve"> ingreso de un nuevo usuario, y otro que indicó cierre del plantel lo que significó volver a fiscalizar para cerciorarse del cierre</w:t>
            </w:r>
            <w:r w:rsidR="004856CB">
              <w:rPr>
                <w:rFonts w:ascii="Verdana" w:hAnsi="Verdana"/>
                <w:b w:val="0"/>
                <w:sz w:val="18"/>
                <w:szCs w:val="18"/>
              </w:rPr>
              <w:t>.</w:t>
            </w:r>
            <w:r w:rsidR="004856CB" w:rsidRPr="004856CB">
              <w:rPr>
                <w:rFonts w:ascii="Verdana" w:hAnsi="Verdana"/>
                <w:b w:val="0"/>
                <w:sz w:val="18"/>
                <w:szCs w:val="18"/>
              </w:rPr>
              <w:t xml:space="preserve"> </w:t>
            </w:r>
          </w:p>
          <w:p w14:paraId="57DC4EDC" w14:textId="77777777" w:rsidR="00BA2E45" w:rsidRDefault="00BA2E45" w:rsidP="004D5E3C">
            <w:pPr>
              <w:jc w:val="both"/>
              <w:rPr>
                <w:rFonts w:ascii="Verdana" w:hAnsi="Verdana"/>
                <w:b w:val="0"/>
                <w:sz w:val="18"/>
                <w:szCs w:val="18"/>
              </w:rPr>
            </w:pPr>
          </w:p>
          <w:p w14:paraId="39CA2F54" w14:textId="77777777" w:rsidR="0059613C" w:rsidRDefault="0059613C" w:rsidP="004D5E3C">
            <w:pPr>
              <w:jc w:val="both"/>
              <w:rPr>
                <w:rFonts w:ascii="Verdana" w:hAnsi="Verdana"/>
                <w:b w:val="0"/>
                <w:sz w:val="18"/>
                <w:szCs w:val="18"/>
              </w:rPr>
            </w:pPr>
          </w:p>
          <w:p w14:paraId="1C868874" w14:textId="77777777" w:rsidR="00A71D05" w:rsidRPr="00B92C02" w:rsidRDefault="00A71D05" w:rsidP="004D5E3C">
            <w:pPr>
              <w:jc w:val="both"/>
              <w:rPr>
                <w:rFonts w:ascii="Verdana" w:hAnsi="Verdana"/>
                <w:b w:val="0"/>
                <w:sz w:val="18"/>
                <w:szCs w:val="18"/>
              </w:rPr>
            </w:pPr>
            <w:r w:rsidRPr="00D465F2">
              <w:rPr>
                <w:rFonts w:ascii="Verdana" w:hAnsi="Verdana"/>
                <w:sz w:val="18"/>
                <w:szCs w:val="18"/>
                <w:u w:val="single"/>
              </w:rPr>
              <w:t>Ámbito Semillas (Normativa</w:t>
            </w:r>
            <w:r w:rsidR="004856CB">
              <w:rPr>
                <w:rFonts w:ascii="Verdana" w:hAnsi="Verdana"/>
                <w:sz w:val="18"/>
                <w:szCs w:val="18"/>
                <w:u w:val="single"/>
              </w:rPr>
              <w:t>:</w:t>
            </w:r>
            <w:r w:rsidRPr="00D465F2">
              <w:rPr>
                <w:rFonts w:ascii="Verdana" w:hAnsi="Verdana"/>
                <w:sz w:val="18"/>
                <w:szCs w:val="18"/>
                <w:u w:val="single"/>
              </w:rPr>
              <w:t xml:space="preserve"> Comerciantes de semillas y viveros de plantas):</w:t>
            </w:r>
            <w:r w:rsidRPr="00D465F2">
              <w:rPr>
                <w:rFonts w:ascii="Verdana" w:hAnsi="Verdana"/>
                <w:b w:val="0"/>
                <w:sz w:val="18"/>
                <w:szCs w:val="18"/>
              </w:rPr>
              <w:t xml:space="preserve"> </w:t>
            </w:r>
          </w:p>
          <w:p w14:paraId="702D82EF" w14:textId="77777777" w:rsidR="00300EDC" w:rsidRDefault="00F461E8" w:rsidP="00300EDC">
            <w:pPr>
              <w:jc w:val="both"/>
              <w:rPr>
                <w:rFonts w:ascii="Verdana" w:hAnsi="Verdana"/>
                <w:b w:val="0"/>
                <w:sz w:val="18"/>
                <w:szCs w:val="18"/>
              </w:rPr>
            </w:pPr>
            <w:r>
              <w:rPr>
                <w:rFonts w:ascii="Verdana" w:hAnsi="Verdana"/>
                <w:b w:val="0"/>
                <w:sz w:val="18"/>
                <w:szCs w:val="18"/>
              </w:rPr>
              <w:t>E</w:t>
            </w:r>
            <w:r w:rsidR="00300EDC">
              <w:rPr>
                <w:rFonts w:ascii="Verdana" w:hAnsi="Verdana"/>
                <w:b w:val="0"/>
                <w:sz w:val="18"/>
                <w:szCs w:val="18"/>
              </w:rPr>
              <w:t>n el ámbito Semillas, se registraron</w:t>
            </w:r>
            <w:r w:rsidR="00300EDC" w:rsidRPr="00B92C02">
              <w:rPr>
                <w:rFonts w:ascii="Verdana" w:hAnsi="Verdana"/>
                <w:b w:val="0"/>
                <w:sz w:val="18"/>
                <w:szCs w:val="18"/>
              </w:rPr>
              <w:t xml:space="preserve"> </w:t>
            </w:r>
            <w:r w:rsidR="00654109">
              <w:rPr>
                <w:rFonts w:ascii="Verdana" w:hAnsi="Verdana"/>
                <w:b w:val="0"/>
                <w:sz w:val="18"/>
                <w:szCs w:val="18"/>
              </w:rPr>
              <w:t>1.568</w:t>
            </w:r>
            <w:r w:rsidR="00300EDC" w:rsidRPr="00B92C02">
              <w:rPr>
                <w:rFonts w:ascii="Verdana" w:hAnsi="Verdana"/>
                <w:b w:val="0"/>
                <w:sz w:val="18"/>
                <w:szCs w:val="18"/>
              </w:rPr>
              <w:t xml:space="preserve"> fiscalizaciones de un total de </w:t>
            </w:r>
            <w:r w:rsidR="00654109">
              <w:rPr>
                <w:rFonts w:ascii="Verdana" w:hAnsi="Verdana"/>
                <w:b w:val="0"/>
                <w:sz w:val="18"/>
                <w:szCs w:val="18"/>
              </w:rPr>
              <w:t>1.530</w:t>
            </w:r>
            <w:r w:rsidR="00300EDC">
              <w:rPr>
                <w:rFonts w:ascii="Verdana" w:hAnsi="Verdana"/>
                <w:b w:val="0"/>
                <w:sz w:val="18"/>
                <w:szCs w:val="18"/>
              </w:rPr>
              <w:t xml:space="preserve"> fiscalizaciones programadas, </w:t>
            </w:r>
            <w:r w:rsidR="00300EDC" w:rsidRPr="00B92C02">
              <w:rPr>
                <w:rFonts w:ascii="Verdana" w:hAnsi="Verdana"/>
                <w:b w:val="0"/>
                <w:sz w:val="18"/>
                <w:szCs w:val="18"/>
              </w:rPr>
              <w:t xml:space="preserve">con un nivel de </w:t>
            </w:r>
            <w:r w:rsidR="00300EDC">
              <w:rPr>
                <w:rFonts w:ascii="Verdana" w:hAnsi="Verdana"/>
                <w:b w:val="0"/>
                <w:sz w:val="18"/>
                <w:szCs w:val="18"/>
              </w:rPr>
              <w:t>cumplimiento</w:t>
            </w:r>
            <w:r w:rsidR="00300EDC" w:rsidRPr="00B92C02">
              <w:rPr>
                <w:rFonts w:ascii="Verdana" w:hAnsi="Verdana"/>
                <w:b w:val="0"/>
                <w:sz w:val="18"/>
                <w:szCs w:val="18"/>
              </w:rPr>
              <w:t xml:space="preserve"> respecto del plan anual </w:t>
            </w:r>
            <w:r w:rsidR="00300EDC">
              <w:rPr>
                <w:rFonts w:ascii="Verdana" w:hAnsi="Verdana"/>
                <w:b w:val="0"/>
                <w:sz w:val="18"/>
                <w:szCs w:val="18"/>
              </w:rPr>
              <w:t>de un 10</w:t>
            </w:r>
            <w:r w:rsidR="00654109">
              <w:rPr>
                <w:rFonts w:ascii="Verdana" w:hAnsi="Verdana"/>
                <w:b w:val="0"/>
                <w:sz w:val="18"/>
                <w:szCs w:val="18"/>
              </w:rPr>
              <w:t>2</w:t>
            </w:r>
            <w:r w:rsidR="00300EDC">
              <w:rPr>
                <w:rFonts w:ascii="Verdana" w:hAnsi="Verdana"/>
                <w:b w:val="0"/>
                <w:sz w:val="18"/>
                <w:szCs w:val="18"/>
              </w:rPr>
              <w:t>,</w:t>
            </w:r>
            <w:r w:rsidR="00654109">
              <w:rPr>
                <w:rFonts w:ascii="Verdana" w:hAnsi="Verdana"/>
                <w:b w:val="0"/>
                <w:sz w:val="18"/>
                <w:szCs w:val="18"/>
              </w:rPr>
              <w:t xml:space="preserve">5%, debido a </w:t>
            </w:r>
            <w:r w:rsidR="00654109" w:rsidRPr="00654109">
              <w:rPr>
                <w:rFonts w:ascii="Verdana" w:hAnsi="Verdana"/>
                <w:b w:val="0"/>
                <w:sz w:val="18"/>
                <w:szCs w:val="18"/>
              </w:rPr>
              <w:t xml:space="preserve">la inscripción de nuevos viveros o comerciantes de semillas, o cuando un establecimiento queda con lotes de semilla con prohibición temporal de venta, y se hace necesario volver a fiscalizar. </w:t>
            </w:r>
            <w:r w:rsidR="00300EDC" w:rsidRPr="00536B6F">
              <w:rPr>
                <w:rFonts w:ascii="Verdana" w:hAnsi="Verdana"/>
                <w:b w:val="0"/>
                <w:sz w:val="18"/>
                <w:szCs w:val="18"/>
              </w:rPr>
              <w:t xml:space="preserve">De total de fiscalizaciones realizadas en </w:t>
            </w:r>
            <w:r w:rsidR="00300EDC">
              <w:rPr>
                <w:rFonts w:ascii="Verdana" w:hAnsi="Verdana"/>
                <w:b w:val="0"/>
                <w:sz w:val="18"/>
                <w:szCs w:val="18"/>
              </w:rPr>
              <w:t>este ámbito</w:t>
            </w:r>
            <w:r w:rsidR="00300EDC" w:rsidRPr="00536B6F">
              <w:rPr>
                <w:rFonts w:ascii="Verdana" w:hAnsi="Verdana"/>
                <w:b w:val="0"/>
                <w:sz w:val="18"/>
                <w:szCs w:val="18"/>
              </w:rPr>
              <w:t xml:space="preserve">, el </w:t>
            </w:r>
            <w:r w:rsidR="00654109">
              <w:rPr>
                <w:rFonts w:ascii="Verdana" w:hAnsi="Verdana"/>
                <w:b w:val="0"/>
                <w:sz w:val="18"/>
                <w:szCs w:val="18"/>
              </w:rPr>
              <w:t>94</w:t>
            </w:r>
            <w:r w:rsidR="00300EDC" w:rsidRPr="00536B6F">
              <w:rPr>
                <w:rFonts w:ascii="Verdana" w:hAnsi="Verdana"/>
                <w:b w:val="0"/>
                <w:sz w:val="18"/>
                <w:szCs w:val="18"/>
              </w:rPr>
              <w:t>,</w:t>
            </w:r>
            <w:r w:rsidR="00654109">
              <w:rPr>
                <w:rFonts w:ascii="Verdana" w:hAnsi="Verdana"/>
                <w:b w:val="0"/>
                <w:sz w:val="18"/>
                <w:szCs w:val="18"/>
              </w:rPr>
              <w:t>3</w:t>
            </w:r>
            <w:r w:rsidR="00300EDC" w:rsidRPr="00536B6F">
              <w:rPr>
                <w:rFonts w:ascii="Verdana" w:hAnsi="Verdana"/>
                <w:b w:val="0"/>
                <w:sz w:val="18"/>
                <w:szCs w:val="18"/>
              </w:rPr>
              <w:t>% resultó con cumplimiento normativo.</w:t>
            </w:r>
          </w:p>
          <w:p w14:paraId="1D04FEE4" w14:textId="77777777" w:rsidR="0059613C" w:rsidRDefault="0059613C" w:rsidP="00300EDC">
            <w:pPr>
              <w:jc w:val="both"/>
              <w:rPr>
                <w:rFonts w:ascii="Verdana" w:hAnsi="Verdana"/>
                <w:b w:val="0"/>
                <w:sz w:val="18"/>
                <w:szCs w:val="18"/>
              </w:rPr>
            </w:pPr>
          </w:p>
          <w:p w14:paraId="63B3323D" w14:textId="77777777" w:rsidR="004D5E3C" w:rsidRPr="00654109" w:rsidRDefault="004D5E3C" w:rsidP="00776881">
            <w:pPr>
              <w:jc w:val="both"/>
              <w:rPr>
                <w:rFonts w:ascii="Verdana" w:hAnsi="Verdana"/>
                <w:b w:val="0"/>
                <w:color w:val="FF0000"/>
                <w:sz w:val="18"/>
                <w:szCs w:val="18"/>
              </w:rPr>
            </w:pPr>
          </w:p>
          <w:p w14:paraId="6C9B3DF3" w14:textId="77777777" w:rsidR="00A71D05" w:rsidRPr="00D465F2" w:rsidRDefault="00654109" w:rsidP="00A71D05">
            <w:pPr>
              <w:jc w:val="both"/>
              <w:rPr>
                <w:rFonts w:ascii="Verdana" w:hAnsi="Verdana"/>
                <w:b w:val="0"/>
                <w:sz w:val="18"/>
                <w:szCs w:val="18"/>
              </w:rPr>
            </w:pPr>
            <w:r>
              <w:rPr>
                <w:rFonts w:ascii="Verdana" w:hAnsi="Verdana"/>
                <w:sz w:val="18"/>
                <w:szCs w:val="18"/>
                <w:u w:val="single"/>
              </w:rPr>
              <w:t xml:space="preserve">Ámbito </w:t>
            </w:r>
            <w:r w:rsidR="00A71D05" w:rsidRPr="00D465F2">
              <w:rPr>
                <w:rFonts w:ascii="Verdana" w:hAnsi="Verdana"/>
                <w:sz w:val="18"/>
                <w:szCs w:val="18"/>
                <w:u w:val="single"/>
              </w:rPr>
              <w:t>Pecuario (Normativas Ley de carnes, Reglamento de productos farmacéuticos de uso exclusivamente veterinario y Reglamento de alimentos para animales</w:t>
            </w:r>
            <w:r w:rsidR="00A71D05" w:rsidRPr="00D465F2">
              <w:rPr>
                <w:rFonts w:ascii="Verdana" w:hAnsi="Verdana"/>
                <w:sz w:val="18"/>
                <w:szCs w:val="18"/>
              </w:rPr>
              <w:t>):</w:t>
            </w:r>
            <w:r w:rsidR="00A71D05" w:rsidRPr="00D465F2">
              <w:rPr>
                <w:rFonts w:ascii="Verdana" w:hAnsi="Verdana"/>
                <w:b w:val="0"/>
                <w:sz w:val="18"/>
                <w:szCs w:val="18"/>
              </w:rPr>
              <w:t xml:space="preserve"> </w:t>
            </w:r>
          </w:p>
          <w:p w14:paraId="1AA493C8" w14:textId="77777777" w:rsidR="00654109" w:rsidRDefault="00654109" w:rsidP="00654109">
            <w:pPr>
              <w:jc w:val="both"/>
              <w:rPr>
                <w:rFonts w:ascii="Verdana" w:hAnsi="Verdana"/>
                <w:b w:val="0"/>
                <w:sz w:val="18"/>
                <w:szCs w:val="18"/>
              </w:rPr>
            </w:pPr>
            <w:r>
              <w:rPr>
                <w:rFonts w:ascii="Verdana" w:hAnsi="Verdana"/>
                <w:b w:val="0"/>
                <w:sz w:val="18"/>
                <w:szCs w:val="18"/>
              </w:rPr>
              <w:t>En el ámbito Pecuario, se registraron</w:t>
            </w:r>
            <w:r w:rsidRPr="00B92C02">
              <w:rPr>
                <w:rFonts w:ascii="Verdana" w:hAnsi="Verdana"/>
                <w:b w:val="0"/>
                <w:sz w:val="18"/>
                <w:szCs w:val="18"/>
              </w:rPr>
              <w:t xml:space="preserve"> </w:t>
            </w:r>
            <w:r>
              <w:rPr>
                <w:rFonts w:ascii="Verdana" w:hAnsi="Verdana"/>
                <w:b w:val="0"/>
                <w:sz w:val="18"/>
                <w:szCs w:val="18"/>
              </w:rPr>
              <w:t>10.189</w:t>
            </w:r>
            <w:r w:rsidRPr="00B92C02">
              <w:rPr>
                <w:rFonts w:ascii="Verdana" w:hAnsi="Verdana"/>
                <w:b w:val="0"/>
                <w:sz w:val="18"/>
                <w:szCs w:val="18"/>
              </w:rPr>
              <w:t xml:space="preserve"> fiscalizaciones de un total de 9</w:t>
            </w:r>
            <w:r>
              <w:rPr>
                <w:rFonts w:ascii="Verdana" w:hAnsi="Verdana"/>
                <w:b w:val="0"/>
                <w:sz w:val="18"/>
                <w:szCs w:val="18"/>
              </w:rPr>
              <w:t xml:space="preserve">.984 fiscalizaciones programadas, </w:t>
            </w:r>
            <w:r w:rsidRPr="00B92C02">
              <w:rPr>
                <w:rFonts w:ascii="Verdana" w:hAnsi="Verdana"/>
                <w:b w:val="0"/>
                <w:sz w:val="18"/>
                <w:szCs w:val="18"/>
              </w:rPr>
              <w:t xml:space="preserve">con un nivel de </w:t>
            </w:r>
            <w:r>
              <w:rPr>
                <w:rFonts w:ascii="Verdana" w:hAnsi="Verdana"/>
                <w:b w:val="0"/>
                <w:sz w:val="18"/>
                <w:szCs w:val="18"/>
              </w:rPr>
              <w:t>cumplimiento</w:t>
            </w:r>
            <w:r w:rsidRPr="00B92C02">
              <w:rPr>
                <w:rFonts w:ascii="Verdana" w:hAnsi="Verdana"/>
                <w:b w:val="0"/>
                <w:sz w:val="18"/>
                <w:szCs w:val="18"/>
              </w:rPr>
              <w:t xml:space="preserve"> respecto del plan anual </w:t>
            </w:r>
            <w:r>
              <w:rPr>
                <w:rFonts w:ascii="Verdana" w:hAnsi="Verdana"/>
                <w:b w:val="0"/>
                <w:sz w:val="18"/>
                <w:szCs w:val="18"/>
              </w:rPr>
              <w:t>de un 102,1%.</w:t>
            </w:r>
            <w:r>
              <w:t xml:space="preserve"> </w:t>
            </w:r>
            <w:r w:rsidRPr="00536B6F">
              <w:rPr>
                <w:rFonts w:ascii="Verdana" w:hAnsi="Verdana"/>
                <w:b w:val="0"/>
                <w:sz w:val="18"/>
                <w:szCs w:val="18"/>
              </w:rPr>
              <w:t xml:space="preserve">De total de fiscalizaciones realizadas en </w:t>
            </w:r>
            <w:r>
              <w:rPr>
                <w:rFonts w:ascii="Verdana" w:hAnsi="Verdana"/>
                <w:b w:val="0"/>
                <w:sz w:val="18"/>
                <w:szCs w:val="18"/>
              </w:rPr>
              <w:t>este ámbito</w:t>
            </w:r>
            <w:r w:rsidRPr="00536B6F">
              <w:rPr>
                <w:rFonts w:ascii="Verdana" w:hAnsi="Verdana"/>
                <w:b w:val="0"/>
                <w:sz w:val="18"/>
                <w:szCs w:val="18"/>
              </w:rPr>
              <w:t xml:space="preserve">, el </w:t>
            </w:r>
            <w:r>
              <w:rPr>
                <w:rFonts w:ascii="Verdana" w:hAnsi="Verdana"/>
                <w:b w:val="0"/>
                <w:sz w:val="18"/>
                <w:szCs w:val="18"/>
              </w:rPr>
              <w:t>91</w:t>
            </w:r>
            <w:r w:rsidRPr="00536B6F">
              <w:rPr>
                <w:rFonts w:ascii="Verdana" w:hAnsi="Verdana"/>
                <w:b w:val="0"/>
                <w:sz w:val="18"/>
                <w:szCs w:val="18"/>
              </w:rPr>
              <w:t>,</w:t>
            </w:r>
            <w:r>
              <w:rPr>
                <w:rFonts w:ascii="Verdana" w:hAnsi="Verdana"/>
                <w:b w:val="0"/>
                <w:sz w:val="18"/>
                <w:szCs w:val="18"/>
              </w:rPr>
              <w:t>9</w:t>
            </w:r>
            <w:r w:rsidRPr="00536B6F">
              <w:rPr>
                <w:rFonts w:ascii="Verdana" w:hAnsi="Verdana"/>
                <w:b w:val="0"/>
                <w:sz w:val="18"/>
                <w:szCs w:val="18"/>
              </w:rPr>
              <w:t>% resultó con cumplimiento normativo.</w:t>
            </w:r>
          </w:p>
          <w:p w14:paraId="36C626EA" w14:textId="77777777" w:rsidR="00654109" w:rsidRDefault="00654109" w:rsidP="00654109">
            <w:pPr>
              <w:jc w:val="both"/>
              <w:rPr>
                <w:rFonts w:ascii="Verdana" w:hAnsi="Verdana"/>
                <w:b w:val="0"/>
                <w:sz w:val="18"/>
                <w:szCs w:val="18"/>
              </w:rPr>
            </w:pPr>
          </w:p>
          <w:p w14:paraId="6ACFAEE1" w14:textId="77777777" w:rsidR="00654109" w:rsidRDefault="00654109" w:rsidP="00654109">
            <w:pPr>
              <w:jc w:val="both"/>
              <w:rPr>
                <w:rFonts w:ascii="Verdana" w:hAnsi="Verdana"/>
                <w:b w:val="0"/>
                <w:sz w:val="18"/>
                <w:szCs w:val="18"/>
              </w:rPr>
            </w:pPr>
            <w:r>
              <w:rPr>
                <w:rFonts w:ascii="Verdana" w:hAnsi="Verdana"/>
                <w:b w:val="0"/>
                <w:sz w:val="18"/>
                <w:szCs w:val="18"/>
              </w:rPr>
              <w:t>A nivel de normativa los niveles de cumplimiento fueron:</w:t>
            </w:r>
            <w:r w:rsidRPr="00B92C02">
              <w:rPr>
                <w:rFonts w:ascii="Verdana" w:hAnsi="Verdana"/>
                <w:b w:val="0"/>
                <w:sz w:val="18"/>
                <w:szCs w:val="18"/>
              </w:rPr>
              <w:t xml:space="preserve"> </w:t>
            </w:r>
          </w:p>
          <w:p w14:paraId="3C74DFB4" w14:textId="77777777" w:rsidR="00654109" w:rsidRDefault="00654109" w:rsidP="00654109">
            <w:pPr>
              <w:jc w:val="both"/>
              <w:rPr>
                <w:rFonts w:ascii="Verdana" w:hAnsi="Verdana"/>
                <w:b w:val="0"/>
                <w:sz w:val="18"/>
                <w:szCs w:val="18"/>
              </w:rPr>
            </w:pPr>
          </w:p>
          <w:p w14:paraId="6AB6E0DE" w14:textId="77777777" w:rsidR="00654109" w:rsidRPr="00AD692C" w:rsidRDefault="00654109" w:rsidP="0059613C">
            <w:pPr>
              <w:pStyle w:val="Prrafodelista"/>
              <w:numPr>
                <w:ilvl w:val="0"/>
                <w:numId w:val="20"/>
              </w:numPr>
              <w:jc w:val="both"/>
              <w:rPr>
                <w:rFonts w:ascii="Verdana" w:hAnsi="Verdana"/>
                <w:b w:val="0"/>
                <w:sz w:val="18"/>
                <w:szCs w:val="18"/>
              </w:rPr>
            </w:pPr>
            <w:r>
              <w:rPr>
                <w:rFonts w:ascii="Verdana" w:hAnsi="Verdana"/>
                <w:b w:val="0"/>
                <w:sz w:val="18"/>
                <w:szCs w:val="18"/>
              </w:rPr>
              <w:t>101,8% en normativa</w:t>
            </w:r>
            <w:r w:rsidRPr="000F0B98">
              <w:rPr>
                <w:rFonts w:ascii="Verdana" w:hAnsi="Verdana"/>
                <w:b w:val="0"/>
                <w:sz w:val="18"/>
                <w:szCs w:val="18"/>
              </w:rPr>
              <w:t xml:space="preserve"> </w:t>
            </w:r>
            <w:r>
              <w:rPr>
                <w:rFonts w:ascii="Verdana" w:hAnsi="Verdana"/>
                <w:b w:val="0"/>
                <w:sz w:val="18"/>
                <w:szCs w:val="18"/>
              </w:rPr>
              <w:t xml:space="preserve">Ley de </w:t>
            </w:r>
            <w:r w:rsidR="00AD692C">
              <w:rPr>
                <w:rFonts w:ascii="Verdana" w:hAnsi="Verdana"/>
                <w:b w:val="0"/>
                <w:sz w:val="18"/>
                <w:szCs w:val="18"/>
              </w:rPr>
              <w:t>c</w:t>
            </w:r>
            <w:r>
              <w:rPr>
                <w:rFonts w:ascii="Verdana" w:hAnsi="Verdana"/>
                <w:b w:val="0"/>
                <w:sz w:val="18"/>
                <w:szCs w:val="18"/>
              </w:rPr>
              <w:t xml:space="preserve">arnes </w:t>
            </w:r>
            <w:r w:rsidRPr="000F0B98">
              <w:rPr>
                <w:rFonts w:ascii="Verdana" w:hAnsi="Verdana"/>
                <w:b w:val="0"/>
                <w:sz w:val="18"/>
                <w:szCs w:val="18"/>
              </w:rPr>
              <w:t>(</w:t>
            </w:r>
            <w:r>
              <w:rPr>
                <w:rFonts w:ascii="Verdana" w:hAnsi="Verdana"/>
                <w:b w:val="0"/>
                <w:sz w:val="18"/>
                <w:szCs w:val="18"/>
              </w:rPr>
              <w:t>7.833</w:t>
            </w:r>
            <w:r w:rsidRPr="000F0B98">
              <w:rPr>
                <w:rFonts w:ascii="Verdana" w:hAnsi="Verdana"/>
                <w:b w:val="0"/>
                <w:sz w:val="18"/>
                <w:szCs w:val="18"/>
              </w:rPr>
              <w:t xml:space="preserve"> fiscalizaciones realizadas de un total de </w:t>
            </w:r>
            <w:r w:rsidR="00AD692C">
              <w:rPr>
                <w:rFonts w:ascii="Verdana" w:hAnsi="Verdana"/>
                <w:b w:val="0"/>
                <w:sz w:val="18"/>
                <w:szCs w:val="18"/>
              </w:rPr>
              <w:t>7.696</w:t>
            </w:r>
            <w:r w:rsidRPr="000F0B98">
              <w:rPr>
                <w:rFonts w:ascii="Verdana" w:hAnsi="Verdana"/>
                <w:b w:val="0"/>
                <w:sz w:val="18"/>
                <w:szCs w:val="18"/>
              </w:rPr>
              <w:t xml:space="preserve"> fiscalizaciones programadas</w:t>
            </w:r>
            <w:r w:rsidRPr="008965D6">
              <w:rPr>
                <w:rFonts w:ascii="Verdana" w:hAnsi="Verdana"/>
                <w:b w:val="0"/>
                <w:sz w:val="18"/>
                <w:szCs w:val="18"/>
              </w:rPr>
              <w:t>)</w:t>
            </w:r>
            <w:r w:rsidRPr="0059613C">
              <w:rPr>
                <w:rFonts w:ascii="Verdana" w:hAnsi="Verdana"/>
                <w:b w:val="0"/>
                <w:sz w:val="18"/>
                <w:szCs w:val="18"/>
              </w:rPr>
              <w:t>, por</w:t>
            </w:r>
            <w:r w:rsidR="00AD692C" w:rsidRPr="0059613C">
              <w:rPr>
                <w:rFonts w:ascii="Verdana" w:hAnsi="Verdana"/>
                <w:b w:val="0"/>
                <w:sz w:val="18"/>
                <w:szCs w:val="18"/>
              </w:rPr>
              <w:t xml:space="preserve"> aumento de fiscalizaciones en </w:t>
            </w:r>
            <w:r w:rsidR="00CC6DD9">
              <w:rPr>
                <w:rFonts w:ascii="Verdana" w:hAnsi="Verdana"/>
                <w:b w:val="0"/>
                <w:sz w:val="18"/>
                <w:szCs w:val="18"/>
              </w:rPr>
              <w:t xml:space="preserve">el mes de </w:t>
            </w:r>
            <w:r w:rsidR="00AD692C" w:rsidRPr="0059613C">
              <w:rPr>
                <w:rFonts w:ascii="Verdana" w:hAnsi="Verdana"/>
                <w:b w:val="0"/>
                <w:sz w:val="18"/>
                <w:szCs w:val="18"/>
              </w:rPr>
              <w:t>s</w:t>
            </w:r>
            <w:r w:rsidRPr="0059613C">
              <w:rPr>
                <w:rFonts w:ascii="Verdana" w:hAnsi="Verdana"/>
                <w:b w:val="0"/>
                <w:sz w:val="18"/>
                <w:szCs w:val="18"/>
              </w:rPr>
              <w:t>eptiembre, debido al aumento en el consumo y venta de carne</w:t>
            </w:r>
            <w:r w:rsidR="00AD692C" w:rsidRPr="0059613C">
              <w:rPr>
                <w:rFonts w:ascii="Verdana" w:hAnsi="Verdana"/>
                <w:b w:val="0"/>
                <w:sz w:val="18"/>
                <w:szCs w:val="18"/>
              </w:rPr>
              <w:t>.</w:t>
            </w:r>
          </w:p>
          <w:p w14:paraId="04DD94BF" w14:textId="77777777" w:rsidR="00AD692C" w:rsidRPr="00654109" w:rsidRDefault="00AD692C" w:rsidP="0059613C">
            <w:pPr>
              <w:pStyle w:val="Prrafodelista"/>
              <w:ind w:left="1080"/>
              <w:jc w:val="both"/>
              <w:rPr>
                <w:rFonts w:ascii="Verdana" w:hAnsi="Verdana"/>
                <w:b w:val="0"/>
                <w:sz w:val="18"/>
                <w:szCs w:val="18"/>
              </w:rPr>
            </w:pPr>
          </w:p>
          <w:p w14:paraId="43A00CAC" w14:textId="77777777" w:rsidR="00AD692C" w:rsidRPr="0059613C" w:rsidRDefault="00AD692C" w:rsidP="0059613C">
            <w:pPr>
              <w:pStyle w:val="Prrafodelista"/>
              <w:numPr>
                <w:ilvl w:val="0"/>
                <w:numId w:val="20"/>
              </w:numPr>
              <w:jc w:val="both"/>
              <w:rPr>
                <w:rFonts w:ascii="Verdana" w:hAnsi="Verdana"/>
                <w:b w:val="0"/>
                <w:sz w:val="18"/>
                <w:szCs w:val="18"/>
              </w:rPr>
            </w:pPr>
            <w:r w:rsidRPr="0059613C">
              <w:rPr>
                <w:rFonts w:ascii="Verdana" w:hAnsi="Verdana"/>
                <w:b w:val="0"/>
                <w:sz w:val="18"/>
                <w:szCs w:val="18"/>
              </w:rPr>
              <w:t>102,4% en Reglamento de productos farmacéuticos de uso exclusivamente veterinario (1.463 fiscalizaciones realizadas de 1.429 fiscalizaciones programadas), por la necesidad de hacer seguimiento a acciones correctivas comprometidas por las empresas.</w:t>
            </w:r>
          </w:p>
          <w:p w14:paraId="6E12FF8B" w14:textId="77777777" w:rsidR="00AD692C" w:rsidRPr="0059613C" w:rsidRDefault="00AD692C" w:rsidP="0059613C">
            <w:pPr>
              <w:pStyle w:val="Prrafodelista"/>
              <w:ind w:left="1080"/>
              <w:jc w:val="both"/>
              <w:rPr>
                <w:rFonts w:ascii="Verdana" w:hAnsi="Verdana"/>
                <w:b w:val="0"/>
                <w:sz w:val="18"/>
                <w:szCs w:val="18"/>
              </w:rPr>
            </w:pPr>
          </w:p>
          <w:p w14:paraId="69E26843" w14:textId="77777777" w:rsidR="0059613C" w:rsidRPr="0059613C" w:rsidRDefault="00654109" w:rsidP="0059613C">
            <w:pPr>
              <w:pStyle w:val="Prrafodelista"/>
              <w:numPr>
                <w:ilvl w:val="0"/>
                <w:numId w:val="20"/>
              </w:numPr>
              <w:jc w:val="both"/>
              <w:rPr>
                <w:rFonts w:ascii="Verdana" w:hAnsi="Verdana"/>
                <w:b w:val="0"/>
                <w:sz w:val="18"/>
                <w:szCs w:val="18"/>
              </w:rPr>
            </w:pPr>
            <w:r>
              <w:rPr>
                <w:rFonts w:ascii="Verdana" w:hAnsi="Verdana"/>
                <w:b w:val="0"/>
                <w:sz w:val="18"/>
                <w:szCs w:val="18"/>
              </w:rPr>
              <w:t>10</w:t>
            </w:r>
            <w:r w:rsidR="00AD692C">
              <w:rPr>
                <w:rFonts w:ascii="Verdana" w:hAnsi="Verdana"/>
                <w:b w:val="0"/>
                <w:sz w:val="18"/>
                <w:szCs w:val="18"/>
              </w:rPr>
              <w:t>4,0</w:t>
            </w:r>
            <w:r>
              <w:rPr>
                <w:rFonts w:ascii="Verdana" w:hAnsi="Verdana"/>
                <w:b w:val="0"/>
                <w:sz w:val="18"/>
                <w:szCs w:val="18"/>
              </w:rPr>
              <w:t>% en normativa</w:t>
            </w:r>
            <w:r w:rsidRPr="000F0B98">
              <w:rPr>
                <w:rFonts w:ascii="Verdana" w:hAnsi="Verdana"/>
                <w:b w:val="0"/>
                <w:sz w:val="18"/>
                <w:szCs w:val="18"/>
              </w:rPr>
              <w:t xml:space="preserve"> </w:t>
            </w:r>
            <w:r w:rsidR="00AD692C" w:rsidRPr="00AD692C">
              <w:rPr>
                <w:rFonts w:ascii="Verdana" w:hAnsi="Verdana"/>
                <w:b w:val="0"/>
                <w:sz w:val="18"/>
                <w:szCs w:val="18"/>
              </w:rPr>
              <w:t xml:space="preserve">Reglamento de alimentos para animales </w:t>
            </w:r>
            <w:r w:rsidRPr="000F0B98">
              <w:rPr>
                <w:rFonts w:ascii="Verdana" w:hAnsi="Verdana"/>
                <w:b w:val="0"/>
                <w:sz w:val="18"/>
                <w:szCs w:val="18"/>
              </w:rPr>
              <w:t>(</w:t>
            </w:r>
            <w:r w:rsidR="00AD692C" w:rsidRPr="0059613C">
              <w:rPr>
                <w:rFonts w:ascii="Verdana" w:hAnsi="Verdana"/>
                <w:b w:val="0"/>
                <w:sz w:val="18"/>
                <w:szCs w:val="18"/>
              </w:rPr>
              <w:t>893</w:t>
            </w:r>
            <w:r w:rsidRPr="000F0B98">
              <w:rPr>
                <w:rFonts w:ascii="Verdana" w:hAnsi="Verdana"/>
                <w:b w:val="0"/>
                <w:sz w:val="18"/>
                <w:szCs w:val="18"/>
              </w:rPr>
              <w:t xml:space="preserve"> fiscalizaciones realizadas de un total de </w:t>
            </w:r>
            <w:r w:rsidR="00AD692C" w:rsidRPr="0059613C">
              <w:rPr>
                <w:rFonts w:ascii="Verdana" w:hAnsi="Verdana"/>
                <w:b w:val="0"/>
                <w:sz w:val="18"/>
                <w:szCs w:val="18"/>
              </w:rPr>
              <w:t>859</w:t>
            </w:r>
            <w:r w:rsidRPr="000F0B98">
              <w:rPr>
                <w:rFonts w:ascii="Verdana" w:hAnsi="Verdana"/>
                <w:b w:val="0"/>
                <w:sz w:val="18"/>
                <w:szCs w:val="18"/>
              </w:rPr>
              <w:t xml:space="preserve"> fiscalizaciones programadas</w:t>
            </w:r>
            <w:r w:rsidRPr="008965D6">
              <w:rPr>
                <w:rFonts w:ascii="Verdana" w:hAnsi="Verdana"/>
                <w:b w:val="0"/>
                <w:sz w:val="18"/>
                <w:szCs w:val="18"/>
              </w:rPr>
              <w:t>)</w:t>
            </w:r>
            <w:r w:rsidRPr="0059613C">
              <w:rPr>
                <w:rFonts w:ascii="Verdana" w:hAnsi="Verdana"/>
                <w:b w:val="0"/>
                <w:sz w:val="18"/>
                <w:szCs w:val="18"/>
              </w:rPr>
              <w:t>, por la mayor frecuencia de fiscalizaciones realizadas a fábricas de alimentos para aves de carne de exportación y de alimentos medicados para especies productivas (Salmonella), y porque se promulgó una nueva normativa</w:t>
            </w:r>
            <w:r w:rsidR="00AD692C" w:rsidRPr="0059613C">
              <w:rPr>
                <w:rFonts w:ascii="Verdana" w:hAnsi="Verdana"/>
                <w:b w:val="0"/>
                <w:sz w:val="18"/>
                <w:szCs w:val="18"/>
              </w:rPr>
              <w:t>.</w:t>
            </w:r>
          </w:p>
          <w:p w14:paraId="2DC6BA6B" w14:textId="77777777" w:rsidR="00F461E8" w:rsidRPr="00F461E8" w:rsidRDefault="00F461E8" w:rsidP="00F461E8">
            <w:pPr>
              <w:jc w:val="both"/>
              <w:rPr>
                <w:rFonts w:ascii="Verdana" w:hAnsi="Verdana"/>
                <w:sz w:val="18"/>
                <w:szCs w:val="18"/>
              </w:rPr>
            </w:pPr>
          </w:p>
        </w:tc>
      </w:tr>
    </w:tbl>
    <w:p w14:paraId="28844A38" w14:textId="77777777" w:rsidR="0059613C" w:rsidRDefault="0059613C" w:rsidP="0059613C">
      <w:pPr>
        <w:pStyle w:val="Ttulo2"/>
        <w:ind w:left="1440"/>
      </w:pPr>
    </w:p>
    <w:p w14:paraId="76200F05" w14:textId="77777777" w:rsidR="0059613C" w:rsidRDefault="0059613C" w:rsidP="0059613C"/>
    <w:p w14:paraId="46ED3A5D" w14:textId="77777777" w:rsidR="0059613C" w:rsidRDefault="0059613C" w:rsidP="0059613C"/>
    <w:p w14:paraId="15E4CBE4" w14:textId="77777777" w:rsidR="0059613C" w:rsidRDefault="0059613C" w:rsidP="0059613C"/>
    <w:p w14:paraId="056EB5F6" w14:textId="77777777" w:rsidR="0059613C" w:rsidRPr="0059613C" w:rsidRDefault="0059613C" w:rsidP="0059613C"/>
    <w:p w14:paraId="03474077" w14:textId="77777777" w:rsidR="00AF79F5" w:rsidRDefault="00A346F1" w:rsidP="00105689">
      <w:pPr>
        <w:pStyle w:val="Ttulo2"/>
        <w:numPr>
          <w:ilvl w:val="1"/>
          <w:numId w:val="8"/>
        </w:numPr>
        <w:spacing w:before="0"/>
        <w:ind w:hanging="873"/>
      </w:pPr>
      <w:bookmarkStart w:id="26" w:name="_Toc30512080"/>
      <w:r w:rsidRPr="000823C7">
        <w:rPr>
          <w:rFonts w:ascii="Calibri" w:eastAsia="Times New Roman" w:hAnsi="Calibri" w:cs="Calibri"/>
          <w:lang w:eastAsia="es-CL"/>
        </w:rPr>
        <w:lastRenderedPageBreak/>
        <w:t>SAG facilitador y garante del comercio exterior</w:t>
      </w:r>
      <w:r>
        <w:rPr>
          <w:rFonts w:ascii="Calibri" w:eastAsia="Times New Roman" w:hAnsi="Calibri" w:cs="Calibri"/>
          <w:lang w:eastAsia="es-CL"/>
        </w:rPr>
        <w:t>.</w:t>
      </w:r>
      <w:bookmarkEnd w:id="26"/>
    </w:p>
    <w:p w14:paraId="5F80BB25" w14:textId="77777777" w:rsidR="00435923" w:rsidRPr="00435923" w:rsidRDefault="00435923" w:rsidP="00105689">
      <w:pPr>
        <w:spacing w:after="0"/>
      </w:pPr>
    </w:p>
    <w:tbl>
      <w:tblPr>
        <w:tblStyle w:val="Tabladecuadrcula4-nfasis11"/>
        <w:tblW w:w="5000" w:type="pct"/>
        <w:tblLook w:val="04A0" w:firstRow="1" w:lastRow="0" w:firstColumn="1" w:lastColumn="0" w:noHBand="0" w:noVBand="1"/>
      </w:tblPr>
      <w:tblGrid>
        <w:gridCol w:w="4958"/>
        <w:gridCol w:w="1418"/>
        <w:gridCol w:w="2452"/>
      </w:tblGrid>
      <w:tr w:rsidR="00EF594C" w14:paraId="682B52BB" w14:textId="77777777" w:rsidTr="004711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pct"/>
          </w:tcPr>
          <w:p w14:paraId="689850D5" w14:textId="77777777" w:rsidR="00EF594C" w:rsidRPr="00D72D50" w:rsidRDefault="00EF594C" w:rsidP="00776881">
            <w:pPr>
              <w:jc w:val="center"/>
              <w:rPr>
                <w:rFonts w:ascii="Verdana" w:hAnsi="Verdana"/>
                <w:sz w:val="18"/>
                <w:szCs w:val="18"/>
              </w:rPr>
            </w:pPr>
            <w:r w:rsidRPr="00D72D50">
              <w:rPr>
                <w:rFonts w:ascii="Verdana" w:hAnsi="Verdana"/>
                <w:sz w:val="18"/>
                <w:szCs w:val="18"/>
              </w:rPr>
              <w:t>Objetivo Estratégico</w:t>
            </w:r>
          </w:p>
        </w:tc>
        <w:tc>
          <w:tcPr>
            <w:tcW w:w="2192" w:type="pct"/>
            <w:gridSpan w:val="2"/>
          </w:tcPr>
          <w:p w14:paraId="3661FCC8" w14:textId="77777777" w:rsidR="00EF594C" w:rsidRPr="00D72D50" w:rsidRDefault="00D17E22" w:rsidP="00B16616">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sidRPr="00D72D50">
              <w:rPr>
                <w:rFonts w:ascii="Verdana" w:hAnsi="Verdana"/>
                <w:sz w:val="18"/>
                <w:szCs w:val="18"/>
              </w:rPr>
              <w:t>Objetivo Específico 201</w:t>
            </w:r>
            <w:r w:rsidR="00B16616">
              <w:rPr>
                <w:rFonts w:ascii="Verdana" w:hAnsi="Verdana"/>
                <w:sz w:val="18"/>
                <w:szCs w:val="18"/>
              </w:rPr>
              <w:t>9</w:t>
            </w:r>
            <w:r>
              <w:rPr>
                <w:rFonts w:ascii="Verdana" w:hAnsi="Verdana"/>
                <w:sz w:val="18"/>
                <w:szCs w:val="18"/>
              </w:rPr>
              <w:t xml:space="preserve"> (Táctico)</w:t>
            </w:r>
          </w:p>
        </w:tc>
      </w:tr>
      <w:tr w:rsidR="00EF594C" w14:paraId="11B91C40" w14:textId="77777777" w:rsidTr="004711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pct"/>
          </w:tcPr>
          <w:p w14:paraId="6111B41C" w14:textId="77777777" w:rsidR="00EF594C" w:rsidRPr="001019D8" w:rsidRDefault="00B16616" w:rsidP="00776881">
            <w:pPr>
              <w:jc w:val="both"/>
              <w:rPr>
                <w:rFonts w:ascii="Verdana" w:hAnsi="Verdana"/>
                <w:color w:val="00B050"/>
                <w:sz w:val="18"/>
                <w:szCs w:val="18"/>
              </w:rPr>
            </w:pPr>
            <w:r w:rsidRPr="001019D8">
              <w:rPr>
                <w:rFonts w:ascii="Verdana" w:hAnsi="Verdana" w:cstheme="minorHAnsi"/>
                <w:sz w:val="20"/>
                <w:szCs w:val="20"/>
              </w:rPr>
              <w:t xml:space="preserve">Consolidar al SAG como una autoridad </w:t>
            </w:r>
            <w:proofErr w:type="spellStart"/>
            <w:r w:rsidRPr="001019D8">
              <w:rPr>
                <w:rFonts w:ascii="Verdana" w:hAnsi="Verdana" w:cstheme="minorHAnsi"/>
                <w:sz w:val="20"/>
                <w:szCs w:val="20"/>
              </w:rPr>
              <w:t>fito</w:t>
            </w:r>
            <w:proofErr w:type="spellEnd"/>
            <w:r w:rsidRPr="001019D8">
              <w:rPr>
                <w:rFonts w:ascii="Verdana" w:hAnsi="Verdana" w:cstheme="minorHAnsi"/>
                <w:sz w:val="20"/>
                <w:szCs w:val="20"/>
              </w:rPr>
              <w:t xml:space="preserve"> y zoosanitaria capaz de apoyar la apertura y mantención de mercados.</w:t>
            </w:r>
          </w:p>
        </w:tc>
        <w:tc>
          <w:tcPr>
            <w:tcW w:w="2192" w:type="pct"/>
            <w:gridSpan w:val="2"/>
          </w:tcPr>
          <w:p w14:paraId="7F3790C0" w14:textId="77777777" w:rsidR="00EF594C" w:rsidRPr="001019D8" w:rsidRDefault="00B16616" w:rsidP="00776881">
            <w:pPr>
              <w:jc w:val="both"/>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1019D8">
              <w:rPr>
                <w:rFonts w:ascii="Verdana" w:hAnsi="Verdana" w:cstheme="minorHAnsi"/>
                <w:sz w:val="20"/>
                <w:szCs w:val="20"/>
              </w:rPr>
              <w:t xml:space="preserve">Reducir re emisiones de certificados </w:t>
            </w:r>
            <w:proofErr w:type="spellStart"/>
            <w:r w:rsidRPr="001019D8">
              <w:rPr>
                <w:rFonts w:ascii="Verdana" w:hAnsi="Verdana" w:cstheme="minorHAnsi"/>
                <w:sz w:val="20"/>
                <w:szCs w:val="20"/>
              </w:rPr>
              <w:t>fito</w:t>
            </w:r>
            <w:proofErr w:type="spellEnd"/>
            <w:r w:rsidRPr="001019D8">
              <w:rPr>
                <w:rFonts w:ascii="Verdana" w:hAnsi="Verdana" w:cstheme="minorHAnsi"/>
                <w:sz w:val="20"/>
                <w:szCs w:val="20"/>
              </w:rPr>
              <w:t xml:space="preserve"> y zoosanitarios de exportación por causa SAG.</w:t>
            </w:r>
          </w:p>
        </w:tc>
      </w:tr>
      <w:tr w:rsidR="00EF594C" w14:paraId="58D76219" w14:textId="77777777" w:rsidTr="004711B9">
        <w:tc>
          <w:tcPr>
            <w:cnfStyle w:val="001000000000" w:firstRow="0" w:lastRow="0" w:firstColumn="1" w:lastColumn="0" w:oddVBand="0" w:evenVBand="0" w:oddHBand="0" w:evenHBand="0" w:firstRowFirstColumn="0" w:firstRowLastColumn="0" w:lastRowFirstColumn="0" w:lastRowLastColumn="0"/>
            <w:tcW w:w="2808" w:type="pct"/>
            <w:shd w:val="clear" w:color="auto" w:fill="5B9BD5" w:themeFill="accent1"/>
          </w:tcPr>
          <w:p w14:paraId="057D7887" w14:textId="77777777" w:rsidR="00EF594C" w:rsidRPr="001019D8" w:rsidRDefault="00EF594C" w:rsidP="00776881">
            <w:pPr>
              <w:jc w:val="center"/>
              <w:rPr>
                <w:rFonts w:ascii="Verdana" w:hAnsi="Verdana"/>
                <w:color w:val="FFFFFF" w:themeColor="background1"/>
                <w:sz w:val="18"/>
                <w:szCs w:val="18"/>
              </w:rPr>
            </w:pPr>
            <w:r w:rsidRPr="001019D8">
              <w:rPr>
                <w:rFonts w:ascii="Verdana" w:hAnsi="Verdana"/>
                <w:color w:val="FFFFFF" w:themeColor="background1"/>
                <w:sz w:val="18"/>
                <w:szCs w:val="18"/>
              </w:rPr>
              <w:t>Indicador</w:t>
            </w:r>
          </w:p>
        </w:tc>
        <w:tc>
          <w:tcPr>
            <w:tcW w:w="803" w:type="pct"/>
            <w:shd w:val="clear" w:color="auto" w:fill="5B9BD5" w:themeFill="accent1"/>
          </w:tcPr>
          <w:p w14:paraId="39858C24" w14:textId="77777777" w:rsidR="00EF594C" w:rsidRPr="001019D8" w:rsidRDefault="00CF771B" w:rsidP="00B16616">
            <w:pPr>
              <w:jc w:val="center"/>
              <w:cnfStyle w:val="000000000000" w:firstRow="0" w:lastRow="0" w:firstColumn="0" w:lastColumn="0" w:oddVBand="0" w:evenVBand="0" w:oddHBand="0" w:evenHBand="0" w:firstRowFirstColumn="0" w:firstRowLastColumn="0" w:lastRowFirstColumn="0" w:lastRowLastColumn="0"/>
              <w:rPr>
                <w:rFonts w:ascii="Verdana" w:hAnsi="Verdana"/>
                <w:b/>
                <w:color w:val="FFFFFF" w:themeColor="background1"/>
                <w:sz w:val="18"/>
                <w:szCs w:val="18"/>
              </w:rPr>
            </w:pPr>
            <w:r w:rsidRPr="001019D8">
              <w:rPr>
                <w:rFonts w:ascii="Verdana" w:hAnsi="Verdana"/>
                <w:b/>
                <w:color w:val="FFFFFF" w:themeColor="background1"/>
                <w:sz w:val="18"/>
                <w:szCs w:val="18"/>
              </w:rPr>
              <w:t>Meta 201</w:t>
            </w:r>
            <w:r w:rsidR="00B16616" w:rsidRPr="001019D8">
              <w:rPr>
                <w:rFonts w:ascii="Verdana" w:hAnsi="Verdana"/>
                <w:b/>
                <w:color w:val="FFFFFF" w:themeColor="background1"/>
                <w:sz w:val="18"/>
                <w:szCs w:val="18"/>
              </w:rPr>
              <w:t>9</w:t>
            </w:r>
          </w:p>
        </w:tc>
        <w:tc>
          <w:tcPr>
            <w:tcW w:w="1390" w:type="pct"/>
            <w:shd w:val="clear" w:color="auto" w:fill="5B9BD5" w:themeFill="accent1"/>
          </w:tcPr>
          <w:p w14:paraId="535E044A" w14:textId="77777777" w:rsidR="00EF594C" w:rsidRPr="001019D8" w:rsidRDefault="00EF594C" w:rsidP="004D5E3C">
            <w:pPr>
              <w:jc w:val="center"/>
              <w:cnfStyle w:val="000000000000" w:firstRow="0" w:lastRow="0" w:firstColumn="0" w:lastColumn="0" w:oddVBand="0" w:evenVBand="0" w:oddHBand="0" w:evenHBand="0" w:firstRowFirstColumn="0" w:firstRowLastColumn="0" w:lastRowFirstColumn="0" w:lastRowLastColumn="0"/>
              <w:rPr>
                <w:rFonts w:ascii="Verdana" w:hAnsi="Verdana"/>
                <w:b/>
                <w:color w:val="FFFFFF" w:themeColor="background1"/>
                <w:sz w:val="18"/>
                <w:szCs w:val="18"/>
              </w:rPr>
            </w:pPr>
            <w:r w:rsidRPr="001019D8">
              <w:rPr>
                <w:rFonts w:ascii="Verdana" w:hAnsi="Verdana"/>
                <w:b/>
                <w:color w:val="FFFFFF" w:themeColor="background1"/>
                <w:sz w:val="18"/>
                <w:szCs w:val="18"/>
              </w:rPr>
              <w:t>Avance al 3</w:t>
            </w:r>
            <w:r w:rsidR="004D5E3C" w:rsidRPr="001019D8">
              <w:rPr>
                <w:rFonts w:ascii="Verdana" w:hAnsi="Verdana"/>
                <w:b/>
                <w:color w:val="FFFFFF" w:themeColor="background1"/>
                <w:sz w:val="18"/>
                <w:szCs w:val="18"/>
              </w:rPr>
              <w:t>1</w:t>
            </w:r>
            <w:r w:rsidRPr="001019D8">
              <w:rPr>
                <w:rFonts w:ascii="Verdana" w:hAnsi="Verdana"/>
                <w:b/>
                <w:color w:val="FFFFFF" w:themeColor="background1"/>
                <w:sz w:val="18"/>
                <w:szCs w:val="18"/>
              </w:rPr>
              <w:t>.0</w:t>
            </w:r>
            <w:r w:rsidR="004D5E3C" w:rsidRPr="001019D8">
              <w:rPr>
                <w:rFonts w:ascii="Verdana" w:hAnsi="Verdana"/>
                <w:b/>
                <w:color w:val="FFFFFF" w:themeColor="background1"/>
                <w:sz w:val="18"/>
                <w:szCs w:val="18"/>
              </w:rPr>
              <w:t>5</w:t>
            </w:r>
            <w:r w:rsidRPr="001019D8">
              <w:rPr>
                <w:rFonts w:ascii="Verdana" w:hAnsi="Verdana"/>
                <w:b/>
                <w:color w:val="FFFFFF" w:themeColor="background1"/>
                <w:sz w:val="18"/>
                <w:szCs w:val="18"/>
              </w:rPr>
              <w:t>.201</w:t>
            </w:r>
            <w:r w:rsidR="00B16616" w:rsidRPr="001019D8">
              <w:rPr>
                <w:rFonts w:ascii="Verdana" w:hAnsi="Verdana"/>
                <w:b/>
                <w:color w:val="FFFFFF" w:themeColor="background1"/>
                <w:sz w:val="18"/>
                <w:szCs w:val="18"/>
              </w:rPr>
              <w:t>9</w:t>
            </w:r>
          </w:p>
        </w:tc>
      </w:tr>
      <w:tr w:rsidR="00EF594C" w14:paraId="537EEA8C" w14:textId="77777777" w:rsidTr="004711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pct"/>
          </w:tcPr>
          <w:p w14:paraId="59DB4367" w14:textId="77777777" w:rsidR="00EF594C" w:rsidRPr="00105689" w:rsidRDefault="00B16616" w:rsidP="002E67B1">
            <w:pPr>
              <w:jc w:val="both"/>
              <w:rPr>
                <w:rFonts w:ascii="Verdana" w:hAnsi="Verdana"/>
                <w:sz w:val="18"/>
                <w:szCs w:val="18"/>
              </w:rPr>
            </w:pPr>
            <w:r w:rsidRPr="00105689">
              <w:rPr>
                <w:rFonts w:ascii="Verdana" w:hAnsi="Verdana" w:cstheme="minorHAnsi"/>
                <w:sz w:val="18"/>
                <w:szCs w:val="18"/>
              </w:rPr>
              <w:t xml:space="preserve">Porcentaje certificados </w:t>
            </w:r>
            <w:proofErr w:type="spellStart"/>
            <w:r w:rsidRPr="00105689">
              <w:rPr>
                <w:rFonts w:ascii="Verdana" w:hAnsi="Verdana" w:cstheme="minorHAnsi"/>
                <w:sz w:val="18"/>
                <w:szCs w:val="18"/>
              </w:rPr>
              <w:t>fito</w:t>
            </w:r>
            <w:proofErr w:type="spellEnd"/>
            <w:r w:rsidRPr="00105689">
              <w:rPr>
                <w:rFonts w:ascii="Verdana" w:hAnsi="Verdana" w:cstheme="minorHAnsi"/>
                <w:sz w:val="18"/>
                <w:szCs w:val="18"/>
              </w:rPr>
              <w:t xml:space="preserve"> y zoosanitarios reemitidos por causa SAG y documentos aclaratorios emitidos por causa SAG asociados al proceso certificación exportaciones año t respecto a total certificados </w:t>
            </w:r>
            <w:proofErr w:type="spellStart"/>
            <w:r w:rsidRPr="00105689">
              <w:rPr>
                <w:rFonts w:ascii="Verdana" w:hAnsi="Verdana" w:cstheme="minorHAnsi"/>
                <w:sz w:val="18"/>
                <w:szCs w:val="18"/>
              </w:rPr>
              <w:t>fito</w:t>
            </w:r>
            <w:proofErr w:type="spellEnd"/>
            <w:r w:rsidRPr="00105689">
              <w:rPr>
                <w:rFonts w:ascii="Verdana" w:hAnsi="Verdana" w:cstheme="minorHAnsi"/>
                <w:sz w:val="18"/>
                <w:szCs w:val="18"/>
              </w:rPr>
              <w:t xml:space="preserve"> y zoosanitarios exportación emitidos año t.  </w:t>
            </w:r>
          </w:p>
        </w:tc>
        <w:tc>
          <w:tcPr>
            <w:tcW w:w="803" w:type="pct"/>
            <w:vAlign w:val="center"/>
          </w:tcPr>
          <w:p w14:paraId="4BB5BCF4" w14:textId="77777777" w:rsidR="00EF594C" w:rsidRPr="001019D8" w:rsidRDefault="00EF594C" w:rsidP="00935988">
            <w:pPr>
              <w:jc w:val="cente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1019D8">
              <w:rPr>
                <w:rFonts w:ascii="Verdana" w:hAnsi="Verdana"/>
                <w:sz w:val="24"/>
                <w:szCs w:val="24"/>
              </w:rPr>
              <w:t>0,</w:t>
            </w:r>
            <w:r w:rsidR="00935988" w:rsidRPr="001019D8">
              <w:rPr>
                <w:rFonts w:ascii="Verdana" w:hAnsi="Verdana"/>
                <w:sz w:val="24"/>
                <w:szCs w:val="24"/>
              </w:rPr>
              <w:t>19</w:t>
            </w:r>
            <w:r w:rsidRPr="001019D8">
              <w:rPr>
                <w:rFonts w:ascii="Verdana" w:hAnsi="Verdana"/>
                <w:sz w:val="24"/>
                <w:szCs w:val="24"/>
              </w:rPr>
              <w:t>%</w:t>
            </w:r>
          </w:p>
        </w:tc>
        <w:tc>
          <w:tcPr>
            <w:tcW w:w="1390" w:type="pct"/>
            <w:vAlign w:val="center"/>
          </w:tcPr>
          <w:p w14:paraId="161EC41F" w14:textId="77777777" w:rsidR="00BD4AAF" w:rsidRPr="001019D8" w:rsidRDefault="00776881" w:rsidP="00435923">
            <w:pPr>
              <w:jc w:val="cente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1019D8">
              <w:rPr>
                <w:rFonts w:ascii="Verdana" w:hAnsi="Verdana"/>
                <w:sz w:val="24"/>
                <w:szCs w:val="24"/>
              </w:rPr>
              <w:t>0,</w:t>
            </w:r>
            <w:r w:rsidR="00266961" w:rsidRPr="001019D8">
              <w:rPr>
                <w:rFonts w:ascii="Verdana" w:hAnsi="Verdana"/>
                <w:sz w:val="24"/>
                <w:szCs w:val="24"/>
              </w:rPr>
              <w:t>1</w:t>
            </w:r>
            <w:r w:rsidR="0092772C" w:rsidRPr="001019D8">
              <w:rPr>
                <w:rFonts w:ascii="Verdana" w:hAnsi="Verdana"/>
                <w:sz w:val="24"/>
                <w:szCs w:val="24"/>
              </w:rPr>
              <w:t>7</w:t>
            </w:r>
            <w:r w:rsidR="00BD4AAF" w:rsidRPr="001019D8">
              <w:rPr>
                <w:rFonts w:ascii="Verdana" w:hAnsi="Verdana"/>
                <w:sz w:val="24"/>
                <w:szCs w:val="24"/>
              </w:rPr>
              <w:t>%</w:t>
            </w:r>
          </w:p>
          <w:p w14:paraId="355686D2" w14:textId="77777777" w:rsidR="00EF594C" w:rsidRPr="001019D8" w:rsidRDefault="00BD4AAF" w:rsidP="0092772C">
            <w:pPr>
              <w:jc w:val="cente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1019D8">
              <w:rPr>
                <w:rFonts w:ascii="Verdana" w:hAnsi="Verdana"/>
                <w:sz w:val="24"/>
                <w:szCs w:val="24"/>
              </w:rPr>
              <w:t>(</w:t>
            </w:r>
            <w:r w:rsidR="0092772C" w:rsidRPr="001019D8">
              <w:rPr>
                <w:rFonts w:ascii="Verdana" w:hAnsi="Verdana"/>
                <w:sz w:val="24"/>
                <w:szCs w:val="24"/>
              </w:rPr>
              <w:t>377</w:t>
            </w:r>
            <w:r w:rsidRPr="001019D8">
              <w:rPr>
                <w:rFonts w:ascii="Verdana" w:hAnsi="Verdana"/>
                <w:sz w:val="24"/>
                <w:szCs w:val="24"/>
              </w:rPr>
              <w:t>/</w:t>
            </w:r>
            <w:r w:rsidR="0092772C" w:rsidRPr="001019D8">
              <w:rPr>
                <w:rFonts w:ascii="Verdana" w:hAnsi="Verdana"/>
                <w:sz w:val="24"/>
                <w:szCs w:val="24"/>
              </w:rPr>
              <w:t>225</w:t>
            </w:r>
            <w:r w:rsidR="00776881" w:rsidRPr="001019D8">
              <w:rPr>
                <w:rFonts w:ascii="Verdana" w:hAnsi="Verdana"/>
                <w:sz w:val="24"/>
                <w:szCs w:val="24"/>
              </w:rPr>
              <w:t>.</w:t>
            </w:r>
            <w:r w:rsidR="0092772C" w:rsidRPr="001019D8">
              <w:rPr>
                <w:rFonts w:ascii="Verdana" w:hAnsi="Verdana"/>
                <w:sz w:val="24"/>
                <w:szCs w:val="24"/>
              </w:rPr>
              <w:t>504</w:t>
            </w:r>
            <w:r w:rsidRPr="001019D8">
              <w:rPr>
                <w:rFonts w:ascii="Verdana" w:hAnsi="Verdana"/>
                <w:sz w:val="24"/>
                <w:szCs w:val="24"/>
              </w:rPr>
              <w:t>)</w:t>
            </w:r>
          </w:p>
        </w:tc>
      </w:tr>
      <w:tr w:rsidR="00EF594C" w14:paraId="3523273A" w14:textId="77777777" w:rsidTr="00776881">
        <w:tc>
          <w:tcPr>
            <w:cnfStyle w:val="001000000000" w:firstRow="0" w:lastRow="0" w:firstColumn="1" w:lastColumn="0" w:oddVBand="0" w:evenVBand="0" w:oddHBand="0" w:evenHBand="0" w:firstRowFirstColumn="0" w:firstRowLastColumn="0" w:lastRowFirstColumn="0" w:lastRowLastColumn="0"/>
            <w:tcW w:w="5000" w:type="pct"/>
            <w:gridSpan w:val="3"/>
          </w:tcPr>
          <w:p w14:paraId="46F8E8E8" w14:textId="77777777" w:rsidR="00F461E8" w:rsidRDefault="0096609A" w:rsidP="005416E3">
            <w:pPr>
              <w:spacing w:before="120"/>
              <w:jc w:val="both"/>
              <w:rPr>
                <w:rFonts w:ascii="Verdana" w:hAnsi="Verdana"/>
                <w:sz w:val="18"/>
                <w:szCs w:val="18"/>
              </w:rPr>
            </w:pPr>
            <w:r>
              <w:rPr>
                <w:rFonts w:ascii="Verdana" w:hAnsi="Verdana"/>
                <w:sz w:val="18"/>
                <w:szCs w:val="18"/>
              </w:rPr>
              <w:t>Descripción del Resultado:</w:t>
            </w:r>
          </w:p>
          <w:p w14:paraId="560BE346" w14:textId="77777777" w:rsidR="00F461E8" w:rsidRPr="0007661D" w:rsidRDefault="00F461E8" w:rsidP="00F461E8">
            <w:pPr>
              <w:jc w:val="both"/>
              <w:rPr>
                <w:rFonts w:ascii="Verdana" w:hAnsi="Verdana"/>
                <w:b w:val="0"/>
                <w:sz w:val="18"/>
                <w:szCs w:val="18"/>
              </w:rPr>
            </w:pPr>
            <w:r w:rsidRPr="0007661D">
              <w:rPr>
                <w:rFonts w:ascii="Verdana" w:hAnsi="Verdana"/>
                <w:b w:val="0"/>
                <w:sz w:val="18"/>
                <w:szCs w:val="18"/>
              </w:rPr>
              <w:t xml:space="preserve">En 2019 se emitieron un total de 255.504 certificados </w:t>
            </w:r>
            <w:proofErr w:type="spellStart"/>
            <w:r w:rsidRPr="0007661D">
              <w:rPr>
                <w:rFonts w:ascii="Verdana" w:hAnsi="Verdana"/>
                <w:b w:val="0"/>
                <w:sz w:val="18"/>
                <w:szCs w:val="18"/>
              </w:rPr>
              <w:t>fito</w:t>
            </w:r>
            <w:proofErr w:type="spellEnd"/>
            <w:r w:rsidRPr="0007661D">
              <w:rPr>
                <w:rFonts w:ascii="Verdana" w:hAnsi="Verdana"/>
                <w:b w:val="0"/>
                <w:sz w:val="18"/>
                <w:szCs w:val="18"/>
              </w:rPr>
              <w:t xml:space="preserve"> y zoosanitarios de exportación, de los cuales 377 fueron reemitidos por causa SAG, por lo cual el indicador obtuvo como resultado un 0,17%, cumpliendo con la meta establecida para el indicador del 0,19% (430/227.901). Dado que se trata de un indicador con comportamiento descendente, a medida que su resultado es menor a la meta, es me</w:t>
            </w:r>
            <w:r w:rsidR="003302B0" w:rsidRPr="0007661D">
              <w:rPr>
                <w:rFonts w:ascii="Verdana" w:hAnsi="Verdana"/>
                <w:b w:val="0"/>
                <w:sz w:val="18"/>
                <w:szCs w:val="18"/>
              </w:rPr>
              <w:t>jor su desempeño, obteniendo un sobrecumplim</w:t>
            </w:r>
            <w:r w:rsidR="00830FE6" w:rsidRPr="0007661D">
              <w:rPr>
                <w:rFonts w:ascii="Verdana" w:hAnsi="Verdana"/>
                <w:b w:val="0"/>
                <w:sz w:val="18"/>
                <w:szCs w:val="18"/>
              </w:rPr>
              <w:t>i</w:t>
            </w:r>
            <w:r w:rsidR="003302B0" w:rsidRPr="0007661D">
              <w:rPr>
                <w:rFonts w:ascii="Verdana" w:hAnsi="Verdana"/>
                <w:b w:val="0"/>
                <w:sz w:val="18"/>
                <w:szCs w:val="18"/>
              </w:rPr>
              <w:t>ento respecto a la meta de un 111,8%. Dicho sobre</w:t>
            </w:r>
            <w:r w:rsidRPr="0007661D">
              <w:rPr>
                <w:rFonts w:ascii="Verdana" w:hAnsi="Verdana"/>
                <w:b w:val="0"/>
                <w:sz w:val="18"/>
                <w:szCs w:val="18"/>
              </w:rPr>
              <w:t xml:space="preserve">cumplimiento </w:t>
            </w:r>
            <w:r w:rsidR="003302B0" w:rsidRPr="0007661D">
              <w:rPr>
                <w:rFonts w:ascii="Verdana" w:hAnsi="Verdana"/>
                <w:b w:val="0"/>
                <w:sz w:val="18"/>
                <w:szCs w:val="18"/>
              </w:rPr>
              <w:t>tiene relación con la</w:t>
            </w:r>
            <w:r w:rsidRPr="0007661D">
              <w:rPr>
                <w:rFonts w:ascii="Verdana" w:hAnsi="Verdana"/>
                <w:b w:val="0"/>
                <w:sz w:val="18"/>
                <w:szCs w:val="18"/>
              </w:rPr>
              <w:t xml:space="preserve"> implementación de un plan de mejoras</w:t>
            </w:r>
            <w:r w:rsidR="003302B0" w:rsidRPr="0007661D">
              <w:rPr>
                <w:rFonts w:ascii="Verdana" w:hAnsi="Verdana"/>
                <w:b w:val="0"/>
                <w:sz w:val="18"/>
                <w:szCs w:val="18"/>
              </w:rPr>
              <w:t xml:space="preserve"> informáticas sobre el Sistema </w:t>
            </w:r>
            <w:proofErr w:type="spellStart"/>
            <w:r w:rsidR="003302B0" w:rsidRPr="0007661D">
              <w:rPr>
                <w:rFonts w:ascii="Verdana" w:hAnsi="Verdana"/>
                <w:b w:val="0"/>
                <w:sz w:val="18"/>
                <w:szCs w:val="18"/>
              </w:rPr>
              <w:t>M</w:t>
            </w:r>
            <w:r w:rsidRPr="0007661D">
              <w:rPr>
                <w:rFonts w:ascii="Verdana" w:hAnsi="Verdana"/>
                <w:b w:val="0"/>
                <w:sz w:val="18"/>
                <w:szCs w:val="18"/>
              </w:rPr>
              <w:t>ultipuerto</w:t>
            </w:r>
            <w:proofErr w:type="spellEnd"/>
            <w:r w:rsidRPr="0007661D">
              <w:rPr>
                <w:rFonts w:ascii="Verdana" w:hAnsi="Verdana"/>
                <w:b w:val="0"/>
                <w:sz w:val="18"/>
                <w:szCs w:val="18"/>
              </w:rPr>
              <w:t>, las que apoyaron la disminución de errores al momento de emitir el Certificado Fitosanitario, así como la permanente capacitación y reuniones de coordinación con los equipos emisores y oficiales autorizados.</w:t>
            </w:r>
          </w:p>
          <w:p w14:paraId="211AC9DA" w14:textId="77777777" w:rsidR="00F461E8" w:rsidRPr="0007661D" w:rsidRDefault="00F461E8" w:rsidP="00F461E8">
            <w:pPr>
              <w:jc w:val="both"/>
              <w:rPr>
                <w:rFonts w:ascii="Verdana" w:hAnsi="Verdana"/>
                <w:b w:val="0"/>
                <w:sz w:val="18"/>
                <w:szCs w:val="18"/>
              </w:rPr>
            </w:pPr>
          </w:p>
          <w:p w14:paraId="1BBE665F" w14:textId="77777777" w:rsidR="005416E3" w:rsidRPr="0007661D" w:rsidRDefault="005416E3" w:rsidP="005416E3">
            <w:pPr>
              <w:jc w:val="both"/>
              <w:rPr>
                <w:rFonts w:ascii="Verdana" w:hAnsi="Verdana"/>
                <w:b w:val="0"/>
                <w:sz w:val="18"/>
                <w:szCs w:val="18"/>
              </w:rPr>
            </w:pPr>
            <w:r w:rsidRPr="0007661D">
              <w:rPr>
                <w:rFonts w:ascii="Verdana" w:hAnsi="Verdana"/>
                <w:b w:val="0"/>
                <w:sz w:val="18"/>
                <w:szCs w:val="18"/>
              </w:rPr>
              <w:t xml:space="preserve">A nivel de los ámbitos que componen el indicador, el resultado obtenido durante el año 2019 en </w:t>
            </w:r>
            <w:r w:rsidRPr="0007661D">
              <w:rPr>
                <w:rFonts w:ascii="Verdana" w:hAnsi="Verdana"/>
                <w:sz w:val="18"/>
                <w:szCs w:val="18"/>
              </w:rPr>
              <w:t>Certificación Fitosanitaria</w:t>
            </w:r>
            <w:r w:rsidRPr="0007661D">
              <w:rPr>
                <w:rFonts w:ascii="Verdana" w:hAnsi="Verdana"/>
                <w:b w:val="0"/>
                <w:sz w:val="18"/>
                <w:szCs w:val="18"/>
              </w:rPr>
              <w:t xml:space="preserve"> es de un 0,07% (121 certificados fitosanitarios reemitidos de un total de 179.457 Certificados Fitosanitarios emitidos). En relación al total de certificados fitosanitarios emitidos, la mayor cantidad fue emitida por las Regiones de Valparaíso con un 73,1% (131.202), Biobío con un 13,1% (23.518) y la Región Metropolitana con un 11,2% (20.140).  Respecto al total de reemisiones fitosanitarias, el 82,6% corresponde a la Región de Valparaíso (0,08 % de sus certificados fitosanitarios emitidos), 15,7% a Biobío (0,08% de sus certificados fitosanitarios emitidos) y el 1,7% a la Región Metropolitana (0,01% de sus certificados fitosanitarios emitidos), siendo la causa principal los errores en las declaraciones adicionales obligatorias a requerimiento del país de destino.</w:t>
            </w:r>
          </w:p>
          <w:p w14:paraId="726A0A7F" w14:textId="77777777" w:rsidR="005416E3" w:rsidRPr="0007661D" w:rsidRDefault="005416E3" w:rsidP="005416E3">
            <w:pPr>
              <w:jc w:val="both"/>
              <w:rPr>
                <w:rFonts w:ascii="Verdana" w:hAnsi="Verdana"/>
                <w:b w:val="0"/>
                <w:sz w:val="18"/>
                <w:szCs w:val="18"/>
              </w:rPr>
            </w:pPr>
          </w:p>
          <w:p w14:paraId="6921AEFB" w14:textId="0E60818A" w:rsidR="005416E3" w:rsidRPr="0007661D" w:rsidRDefault="005416E3" w:rsidP="005416E3">
            <w:pPr>
              <w:jc w:val="both"/>
              <w:rPr>
                <w:rFonts w:ascii="Verdana" w:hAnsi="Verdana"/>
                <w:b w:val="0"/>
                <w:sz w:val="18"/>
                <w:szCs w:val="18"/>
              </w:rPr>
            </w:pPr>
            <w:r w:rsidRPr="0007661D">
              <w:rPr>
                <w:rFonts w:ascii="Verdana" w:hAnsi="Verdana"/>
                <w:b w:val="0"/>
                <w:sz w:val="18"/>
                <w:szCs w:val="18"/>
              </w:rPr>
              <w:t>De un total de 124 mercados hacia los cuales se emiti</w:t>
            </w:r>
            <w:r w:rsidR="00CC6DD9">
              <w:rPr>
                <w:rFonts w:ascii="Verdana" w:hAnsi="Verdana"/>
                <w:b w:val="0"/>
                <w:sz w:val="18"/>
                <w:szCs w:val="18"/>
              </w:rPr>
              <w:t>eron</w:t>
            </w:r>
            <w:r w:rsidRPr="0007661D">
              <w:rPr>
                <w:rFonts w:ascii="Verdana" w:hAnsi="Verdana"/>
                <w:b w:val="0"/>
                <w:sz w:val="18"/>
                <w:szCs w:val="18"/>
              </w:rPr>
              <w:t xml:space="preserve"> Certificado</w:t>
            </w:r>
            <w:r w:rsidR="00CC6DD9">
              <w:rPr>
                <w:rFonts w:ascii="Verdana" w:hAnsi="Verdana"/>
                <w:b w:val="0"/>
                <w:sz w:val="18"/>
                <w:szCs w:val="18"/>
              </w:rPr>
              <w:t>s</w:t>
            </w:r>
            <w:r w:rsidRPr="0007661D">
              <w:rPr>
                <w:rFonts w:ascii="Verdana" w:hAnsi="Verdana"/>
                <w:b w:val="0"/>
                <w:sz w:val="18"/>
                <w:szCs w:val="18"/>
              </w:rPr>
              <w:t xml:space="preserve"> Fitosanitario</w:t>
            </w:r>
            <w:r w:rsidR="00CC6DD9">
              <w:rPr>
                <w:rFonts w:ascii="Verdana" w:hAnsi="Verdana"/>
                <w:b w:val="0"/>
                <w:sz w:val="18"/>
                <w:szCs w:val="18"/>
              </w:rPr>
              <w:t>s</w:t>
            </w:r>
            <w:r w:rsidRPr="0007661D">
              <w:rPr>
                <w:rFonts w:ascii="Verdana" w:hAnsi="Verdana"/>
                <w:b w:val="0"/>
                <w:sz w:val="18"/>
                <w:szCs w:val="18"/>
              </w:rPr>
              <w:t xml:space="preserve"> de Exportación en 2019, se emitió mayor cantidad de </w:t>
            </w:r>
            <w:r w:rsidR="00CC6DD9">
              <w:rPr>
                <w:rFonts w:ascii="Verdana" w:hAnsi="Verdana"/>
                <w:b w:val="0"/>
                <w:sz w:val="18"/>
                <w:szCs w:val="18"/>
              </w:rPr>
              <w:t>c</w:t>
            </w:r>
            <w:r w:rsidR="00CC6DD9" w:rsidRPr="0007661D">
              <w:rPr>
                <w:rFonts w:ascii="Verdana" w:hAnsi="Verdana"/>
                <w:b w:val="0"/>
                <w:sz w:val="18"/>
                <w:szCs w:val="18"/>
              </w:rPr>
              <w:t xml:space="preserve">ertificados </w:t>
            </w:r>
            <w:r w:rsidRPr="0007661D">
              <w:rPr>
                <w:rFonts w:ascii="Verdana" w:hAnsi="Verdana"/>
                <w:b w:val="0"/>
                <w:sz w:val="18"/>
                <w:szCs w:val="18"/>
              </w:rPr>
              <w:t xml:space="preserve">a Estados Unidos (23,6%), China (19,6%), Holanda (5,5%), Corea del Sur (3,9%), Inglaterra (3,2%), Perú (3,0%), Brasil y Alemania (2,8% cada uno), Rusia (2,5%), México, Taiwán, Japón, Colombia, Canadá (con 2,2% cada uno) y España (2,1%), entre otros mercados. </w:t>
            </w:r>
          </w:p>
          <w:p w14:paraId="4C42D555" w14:textId="77777777" w:rsidR="00057E63" w:rsidRPr="0007661D" w:rsidRDefault="00057E63" w:rsidP="00776881">
            <w:pPr>
              <w:jc w:val="both"/>
              <w:rPr>
                <w:rFonts w:ascii="Verdana" w:hAnsi="Verdana"/>
                <w:b w:val="0"/>
                <w:sz w:val="18"/>
                <w:szCs w:val="18"/>
              </w:rPr>
            </w:pPr>
          </w:p>
          <w:p w14:paraId="3AFF0B46" w14:textId="77777777" w:rsidR="00260B1F" w:rsidRPr="0007661D" w:rsidRDefault="00260B1F" w:rsidP="00260B1F">
            <w:pPr>
              <w:jc w:val="both"/>
              <w:rPr>
                <w:rFonts w:ascii="Verdana" w:hAnsi="Verdana"/>
                <w:b w:val="0"/>
                <w:sz w:val="18"/>
                <w:szCs w:val="18"/>
              </w:rPr>
            </w:pPr>
            <w:r w:rsidRPr="0007661D">
              <w:rPr>
                <w:rFonts w:ascii="Verdana" w:hAnsi="Verdana"/>
                <w:b w:val="0"/>
                <w:sz w:val="18"/>
                <w:szCs w:val="18"/>
              </w:rPr>
              <w:t xml:space="preserve">Con respecto a </w:t>
            </w:r>
            <w:r w:rsidRPr="0007661D">
              <w:rPr>
                <w:rFonts w:ascii="Verdana" w:hAnsi="Verdana"/>
                <w:sz w:val="18"/>
                <w:szCs w:val="18"/>
              </w:rPr>
              <w:t>Certificación Zoosanitaria</w:t>
            </w:r>
            <w:r w:rsidRPr="0007661D">
              <w:rPr>
                <w:rFonts w:ascii="Verdana" w:hAnsi="Verdana"/>
                <w:b w:val="0"/>
                <w:sz w:val="18"/>
                <w:szCs w:val="18"/>
              </w:rPr>
              <w:t>, el resultado obtenido durante el año 2019 fue de un 0,54% (255 Certificados Zoosanitarios reemitidos y 1 documento aclaratorio sobre un total de 47.407 Certificados Zoosanitarios emitidos). En relación al total de Certificados Zoosanitarios emitidos, la mayor cantidad fue emitida por las Regiones de O’Higgins con un 46,3% (21.947), Metropolitana con un 24,0% (11.390) y la Región de Los Lagos con un 6,2% (2.957).  En cuanto al total de reemisiones zoosanitarias y emisión de documentos aclaratorios en relación al total nacional, el 58,6% corresponde a la Región de O’Higgins (0,7% de sus certificados zoosanitarios emitidos); 16,0% a la Región Metropolitana (0,4% de sus certificados zoosanitarios emitidos) y 15,6% a Araucanía (2,5% de sus certificados zoosanitarios emitidos). Dentro de las principales causas de las reemisiones más frecuentes se encuentran los errores de escritura y formato inadecuado del Certificado Zoosanitario de Exportación.</w:t>
            </w:r>
          </w:p>
          <w:p w14:paraId="65605DC2" w14:textId="77777777" w:rsidR="00260B1F" w:rsidRPr="0007661D" w:rsidRDefault="00260B1F" w:rsidP="00260B1F">
            <w:pPr>
              <w:jc w:val="both"/>
              <w:rPr>
                <w:rFonts w:ascii="Verdana" w:hAnsi="Verdana"/>
                <w:b w:val="0"/>
                <w:sz w:val="18"/>
                <w:szCs w:val="18"/>
              </w:rPr>
            </w:pPr>
          </w:p>
          <w:p w14:paraId="5825971D" w14:textId="7181AFD4" w:rsidR="0092772C" w:rsidRPr="00892D4A" w:rsidRDefault="00260B1F" w:rsidP="00105689">
            <w:pPr>
              <w:jc w:val="both"/>
              <w:rPr>
                <w:rFonts w:ascii="Verdana" w:hAnsi="Verdana"/>
                <w:sz w:val="18"/>
                <w:szCs w:val="18"/>
              </w:rPr>
            </w:pPr>
            <w:r w:rsidRPr="0007661D">
              <w:rPr>
                <w:rFonts w:ascii="Verdana" w:hAnsi="Verdana"/>
                <w:b w:val="0"/>
                <w:sz w:val="18"/>
                <w:szCs w:val="18"/>
              </w:rPr>
              <w:t xml:space="preserve">De un total de 113 mercados hacia los cuales se emitió Certificado Zoosanitario de Exportación en 2019, las mayores cantidades de </w:t>
            </w:r>
            <w:r w:rsidR="00CC6DD9">
              <w:rPr>
                <w:rFonts w:ascii="Verdana" w:hAnsi="Verdana"/>
                <w:b w:val="0"/>
                <w:sz w:val="18"/>
                <w:szCs w:val="18"/>
              </w:rPr>
              <w:t>c</w:t>
            </w:r>
            <w:r w:rsidR="00CC6DD9" w:rsidRPr="0007661D">
              <w:rPr>
                <w:rFonts w:ascii="Verdana" w:hAnsi="Verdana"/>
                <w:b w:val="0"/>
                <w:sz w:val="18"/>
                <w:szCs w:val="18"/>
              </w:rPr>
              <w:t xml:space="preserve">ertificados </w:t>
            </w:r>
            <w:r w:rsidRPr="0007661D">
              <w:rPr>
                <w:rFonts w:ascii="Verdana" w:hAnsi="Verdana"/>
                <w:b w:val="0"/>
                <w:sz w:val="18"/>
                <w:szCs w:val="18"/>
              </w:rPr>
              <w:t xml:space="preserve">fueron emitidos a China (33,3%), Estados Unidos (9,4%), Japón (6,3%), Argentina (6,0%), Colombia (5,7%), México (5,3%), Perú (4,6%), Corea del Sur (4,4%), Rusia (3,7%) y Alemania (2,1%), entre otros mercados. </w:t>
            </w:r>
          </w:p>
        </w:tc>
      </w:tr>
    </w:tbl>
    <w:p w14:paraId="66BEA187" w14:textId="77777777" w:rsidR="00F0586E" w:rsidRDefault="00A346F1" w:rsidP="00697686">
      <w:pPr>
        <w:pStyle w:val="Ttulo2"/>
        <w:numPr>
          <w:ilvl w:val="1"/>
          <w:numId w:val="8"/>
        </w:numPr>
        <w:ind w:hanging="873"/>
      </w:pPr>
      <w:bookmarkStart w:id="27" w:name="_Toc30512081"/>
      <w:r w:rsidRPr="000823C7">
        <w:rPr>
          <w:rFonts w:ascii="Calibri" w:eastAsia="Times New Roman" w:hAnsi="Calibri" w:cs="Calibri"/>
          <w:lang w:eastAsia="es-CL"/>
        </w:rPr>
        <w:lastRenderedPageBreak/>
        <w:t>Personas comprometidas con la excelencia operacional.</w:t>
      </w:r>
      <w:bookmarkEnd w:id="27"/>
    </w:p>
    <w:p w14:paraId="3A47946E" w14:textId="77777777" w:rsidR="00697686" w:rsidRPr="00697686" w:rsidRDefault="00697686" w:rsidP="00697686"/>
    <w:tbl>
      <w:tblPr>
        <w:tblStyle w:val="Tabladecuadrcula4-nfasis11"/>
        <w:tblW w:w="5000" w:type="pct"/>
        <w:tblLook w:val="04A0" w:firstRow="1" w:lastRow="0" w:firstColumn="1" w:lastColumn="0" w:noHBand="0" w:noVBand="1"/>
      </w:tblPr>
      <w:tblGrid>
        <w:gridCol w:w="4957"/>
        <w:gridCol w:w="1418"/>
        <w:gridCol w:w="2453"/>
      </w:tblGrid>
      <w:tr w:rsidR="00667A72" w14:paraId="28F44BE9" w14:textId="77777777" w:rsidTr="004711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pct"/>
          </w:tcPr>
          <w:p w14:paraId="67161860" w14:textId="77777777" w:rsidR="00667A72" w:rsidRPr="001019D8" w:rsidRDefault="00667A72" w:rsidP="00776881">
            <w:pPr>
              <w:jc w:val="center"/>
              <w:rPr>
                <w:rFonts w:ascii="Verdana" w:hAnsi="Verdana"/>
                <w:sz w:val="18"/>
                <w:szCs w:val="18"/>
              </w:rPr>
            </w:pPr>
            <w:r w:rsidRPr="001019D8">
              <w:rPr>
                <w:rFonts w:ascii="Verdana" w:hAnsi="Verdana"/>
                <w:sz w:val="18"/>
                <w:szCs w:val="18"/>
              </w:rPr>
              <w:t>Objetivo Estratégico</w:t>
            </w:r>
          </w:p>
        </w:tc>
        <w:tc>
          <w:tcPr>
            <w:tcW w:w="2192" w:type="pct"/>
            <w:gridSpan w:val="2"/>
          </w:tcPr>
          <w:p w14:paraId="55B2019A" w14:textId="77777777" w:rsidR="00667A72" w:rsidRPr="001019D8" w:rsidRDefault="00D17E22" w:rsidP="00B16616">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sidRPr="001019D8">
              <w:rPr>
                <w:rFonts w:ascii="Verdana" w:hAnsi="Verdana"/>
                <w:sz w:val="18"/>
                <w:szCs w:val="18"/>
              </w:rPr>
              <w:t>Objetivo Específico 201</w:t>
            </w:r>
            <w:r w:rsidR="00B16616" w:rsidRPr="001019D8">
              <w:rPr>
                <w:rFonts w:ascii="Verdana" w:hAnsi="Verdana"/>
                <w:sz w:val="18"/>
                <w:szCs w:val="18"/>
              </w:rPr>
              <w:t>9</w:t>
            </w:r>
            <w:r w:rsidRPr="001019D8">
              <w:rPr>
                <w:rFonts w:ascii="Verdana" w:hAnsi="Verdana"/>
                <w:sz w:val="18"/>
                <w:szCs w:val="18"/>
              </w:rPr>
              <w:t xml:space="preserve"> (Táctico)</w:t>
            </w:r>
          </w:p>
        </w:tc>
      </w:tr>
      <w:tr w:rsidR="00667A72" w14:paraId="3E836C91" w14:textId="77777777" w:rsidTr="004711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pct"/>
          </w:tcPr>
          <w:p w14:paraId="3F10F0C0" w14:textId="77777777" w:rsidR="00667A72" w:rsidRPr="001019D8" w:rsidRDefault="00B16616" w:rsidP="00776881">
            <w:pPr>
              <w:jc w:val="both"/>
              <w:rPr>
                <w:rFonts w:ascii="Verdana" w:hAnsi="Verdana"/>
                <w:sz w:val="18"/>
                <w:szCs w:val="18"/>
              </w:rPr>
            </w:pPr>
            <w:r w:rsidRPr="001019D8">
              <w:rPr>
                <w:rFonts w:ascii="Verdana" w:hAnsi="Verdana" w:cstheme="minorHAnsi"/>
                <w:sz w:val="20"/>
                <w:szCs w:val="20"/>
              </w:rPr>
              <w:t>Simplificar y agilizar la gestión de los servicios entregados para una mejor y oportuna atención a usuarios/as, a través de la  generación y actualización de normativas y procedimientos.</w:t>
            </w:r>
          </w:p>
        </w:tc>
        <w:tc>
          <w:tcPr>
            <w:tcW w:w="2192" w:type="pct"/>
            <w:gridSpan w:val="2"/>
          </w:tcPr>
          <w:p w14:paraId="07F0DE0E" w14:textId="77777777" w:rsidR="00667A72" w:rsidRPr="001019D8" w:rsidRDefault="00B16616" w:rsidP="00776881">
            <w:pPr>
              <w:jc w:val="both"/>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1019D8">
              <w:rPr>
                <w:rFonts w:ascii="Verdana" w:hAnsi="Verdana" w:cstheme="minorHAnsi"/>
                <w:sz w:val="20"/>
                <w:szCs w:val="20"/>
              </w:rPr>
              <w:t>Mejorar la satisfacción de los usuarios de los procesos insertos en el Sistema de Gestión de la Calidad.</w:t>
            </w:r>
          </w:p>
        </w:tc>
      </w:tr>
      <w:tr w:rsidR="00667A72" w14:paraId="147978BE" w14:textId="77777777" w:rsidTr="004711B9">
        <w:tc>
          <w:tcPr>
            <w:cnfStyle w:val="001000000000" w:firstRow="0" w:lastRow="0" w:firstColumn="1" w:lastColumn="0" w:oddVBand="0" w:evenVBand="0" w:oddHBand="0" w:evenHBand="0" w:firstRowFirstColumn="0" w:firstRowLastColumn="0" w:lastRowFirstColumn="0" w:lastRowLastColumn="0"/>
            <w:tcW w:w="2808" w:type="pct"/>
            <w:shd w:val="clear" w:color="auto" w:fill="5B9BD5" w:themeFill="accent1"/>
          </w:tcPr>
          <w:p w14:paraId="52E8DA54" w14:textId="77777777" w:rsidR="00667A72" w:rsidRPr="001019D8" w:rsidRDefault="00667A72" w:rsidP="00776881">
            <w:pPr>
              <w:jc w:val="center"/>
              <w:rPr>
                <w:rFonts w:ascii="Verdana" w:hAnsi="Verdana"/>
                <w:color w:val="FFFFFF" w:themeColor="background1"/>
                <w:sz w:val="18"/>
                <w:szCs w:val="18"/>
              </w:rPr>
            </w:pPr>
            <w:r w:rsidRPr="001019D8">
              <w:rPr>
                <w:rFonts w:ascii="Verdana" w:hAnsi="Verdana"/>
                <w:color w:val="FFFFFF" w:themeColor="background1"/>
                <w:sz w:val="18"/>
                <w:szCs w:val="18"/>
              </w:rPr>
              <w:t>Indicador</w:t>
            </w:r>
          </w:p>
        </w:tc>
        <w:tc>
          <w:tcPr>
            <w:tcW w:w="803" w:type="pct"/>
            <w:shd w:val="clear" w:color="auto" w:fill="5B9BD5" w:themeFill="accent1"/>
          </w:tcPr>
          <w:p w14:paraId="4A0CB8AF" w14:textId="77777777" w:rsidR="00667A72" w:rsidRPr="001019D8" w:rsidRDefault="00667A72" w:rsidP="00B16616">
            <w:pPr>
              <w:jc w:val="center"/>
              <w:cnfStyle w:val="000000000000" w:firstRow="0" w:lastRow="0" w:firstColumn="0" w:lastColumn="0" w:oddVBand="0" w:evenVBand="0" w:oddHBand="0" w:evenHBand="0" w:firstRowFirstColumn="0" w:firstRowLastColumn="0" w:lastRowFirstColumn="0" w:lastRowLastColumn="0"/>
              <w:rPr>
                <w:rFonts w:ascii="Verdana" w:hAnsi="Verdana"/>
                <w:b/>
                <w:color w:val="FFFFFF" w:themeColor="background1"/>
                <w:sz w:val="18"/>
                <w:szCs w:val="18"/>
              </w:rPr>
            </w:pPr>
            <w:r w:rsidRPr="001019D8">
              <w:rPr>
                <w:rFonts w:ascii="Verdana" w:hAnsi="Verdana"/>
                <w:b/>
                <w:color w:val="FFFFFF" w:themeColor="background1"/>
                <w:sz w:val="18"/>
                <w:szCs w:val="18"/>
              </w:rPr>
              <w:t>Meta 201</w:t>
            </w:r>
            <w:r w:rsidR="00B16616" w:rsidRPr="001019D8">
              <w:rPr>
                <w:rFonts w:ascii="Verdana" w:hAnsi="Verdana"/>
                <w:b/>
                <w:color w:val="FFFFFF" w:themeColor="background1"/>
                <w:sz w:val="18"/>
                <w:szCs w:val="18"/>
              </w:rPr>
              <w:t>9</w:t>
            </w:r>
          </w:p>
        </w:tc>
        <w:tc>
          <w:tcPr>
            <w:tcW w:w="1390" w:type="pct"/>
            <w:shd w:val="clear" w:color="auto" w:fill="5B9BD5" w:themeFill="accent1"/>
          </w:tcPr>
          <w:p w14:paraId="6515E830" w14:textId="77777777" w:rsidR="00667A72" w:rsidRPr="001019D8" w:rsidRDefault="0096609A" w:rsidP="00B16616">
            <w:pPr>
              <w:jc w:val="center"/>
              <w:cnfStyle w:val="000000000000" w:firstRow="0" w:lastRow="0" w:firstColumn="0" w:lastColumn="0" w:oddVBand="0" w:evenVBand="0" w:oddHBand="0" w:evenHBand="0" w:firstRowFirstColumn="0" w:firstRowLastColumn="0" w:lastRowFirstColumn="0" w:lastRowLastColumn="0"/>
              <w:rPr>
                <w:rFonts w:ascii="Verdana" w:hAnsi="Verdana"/>
                <w:b/>
                <w:color w:val="FFFFFF" w:themeColor="background1"/>
                <w:sz w:val="18"/>
                <w:szCs w:val="18"/>
              </w:rPr>
            </w:pPr>
            <w:r w:rsidRPr="001019D8">
              <w:rPr>
                <w:rFonts w:ascii="Verdana" w:hAnsi="Verdana"/>
                <w:b/>
                <w:color w:val="FFFFFF" w:themeColor="background1"/>
                <w:sz w:val="18"/>
                <w:szCs w:val="18"/>
              </w:rPr>
              <w:t>Resultado al 31.12.19</w:t>
            </w:r>
          </w:p>
        </w:tc>
      </w:tr>
      <w:tr w:rsidR="00667A72" w14:paraId="73D2DF07" w14:textId="77777777" w:rsidTr="004711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pct"/>
          </w:tcPr>
          <w:p w14:paraId="1319DBCE" w14:textId="77777777" w:rsidR="00667A72" w:rsidRPr="001019D8" w:rsidRDefault="00667A72" w:rsidP="003D0123">
            <w:pPr>
              <w:spacing w:line="259" w:lineRule="auto"/>
              <w:rPr>
                <w:rFonts w:ascii="Verdana" w:hAnsi="Verdana" w:cstheme="minorHAnsi"/>
                <w:sz w:val="20"/>
                <w:szCs w:val="20"/>
              </w:rPr>
            </w:pPr>
            <w:r w:rsidRPr="001019D8">
              <w:rPr>
                <w:rFonts w:ascii="Verdana" w:hAnsi="Verdana" w:cstheme="minorHAnsi"/>
                <w:sz w:val="20"/>
                <w:szCs w:val="20"/>
              </w:rPr>
              <w:t>Porcentaje de procesos con nota promedio en Evaluación General, igual o superior a 5,9 en el año t, en relación al total de procesos con medición en el año t.</w:t>
            </w:r>
          </w:p>
        </w:tc>
        <w:tc>
          <w:tcPr>
            <w:tcW w:w="803" w:type="pct"/>
            <w:vAlign w:val="center"/>
          </w:tcPr>
          <w:p w14:paraId="62122BF3" w14:textId="77777777" w:rsidR="00667A72" w:rsidRPr="001019D8" w:rsidRDefault="00667A72" w:rsidP="00FA5B4B">
            <w:pPr>
              <w:jc w:val="cente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1019D8">
              <w:rPr>
                <w:rFonts w:ascii="Verdana" w:hAnsi="Verdana"/>
                <w:sz w:val="24"/>
                <w:szCs w:val="24"/>
              </w:rPr>
              <w:t>70%</w:t>
            </w:r>
          </w:p>
        </w:tc>
        <w:tc>
          <w:tcPr>
            <w:tcW w:w="1390" w:type="pct"/>
            <w:vAlign w:val="center"/>
          </w:tcPr>
          <w:p w14:paraId="6E2CF95E" w14:textId="3B324800" w:rsidR="00BD4AAF" w:rsidRPr="001019D8" w:rsidRDefault="00CC6DD9" w:rsidP="00FA5B4B">
            <w:pPr>
              <w:jc w:val="cente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1019D8">
              <w:rPr>
                <w:rFonts w:ascii="Verdana" w:hAnsi="Verdana"/>
                <w:sz w:val="24"/>
                <w:szCs w:val="24"/>
              </w:rPr>
              <w:t>90</w:t>
            </w:r>
            <w:r w:rsidR="00BD4AAF" w:rsidRPr="001019D8">
              <w:rPr>
                <w:rFonts w:ascii="Verdana" w:hAnsi="Verdana"/>
                <w:sz w:val="24"/>
                <w:szCs w:val="24"/>
              </w:rPr>
              <w:t>%</w:t>
            </w:r>
          </w:p>
          <w:p w14:paraId="4E678129" w14:textId="7E65E82F" w:rsidR="00667A72" w:rsidRPr="001019D8" w:rsidRDefault="00BD4AAF" w:rsidP="00CC6DD9">
            <w:pPr>
              <w:jc w:val="cente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1019D8">
              <w:rPr>
                <w:rFonts w:ascii="Verdana" w:hAnsi="Verdana"/>
                <w:sz w:val="24"/>
                <w:szCs w:val="24"/>
              </w:rPr>
              <w:t>(</w:t>
            </w:r>
            <w:r w:rsidR="004A54EA" w:rsidRPr="001019D8">
              <w:rPr>
                <w:rFonts w:ascii="Verdana" w:hAnsi="Verdana"/>
                <w:sz w:val="24"/>
                <w:szCs w:val="24"/>
              </w:rPr>
              <w:t>9</w:t>
            </w:r>
            <w:r w:rsidRPr="001019D8">
              <w:rPr>
                <w:rFonts w:ascii="Verdana" w:hAnsi="Verdana"/>
                <w:sz w:val="24"/>
                <w:szCs w:val="24"/>
              </w:rPr>
              <w:t>/</w:t>
            </w:r>
            <w:r w:rsidR="00CC6DD9" w:rsidRPr="001019D8">
              <w:rPr>
                <w:rFonts w:ascii="Verdana" w:hAnsi="Verdana"/>
                <w:sz w:val="24"/>
                <w:szCs w:val="24"/>
              </w:rPr>
              <w:t>10</w:t>
            </w:r>
            <w:r w:rsidRPr="001019D8">
              <w:rPr>
                <w:rFonts w:ascii="Verdana" w:hAnsi="Verdana"/>
                <w:sz w:val="24"/>
                <w:szCs w:val="24"/>
              </w:rPr>
              <w:t>)</w:t>
            </w:r>
          </w:p>
        </w:tc>
      </w:tr>
      <w:tr w:rsidR="00667A72" w14:paraId="3A730B87" w14:textId="77777777" w:rsidTr="00055CE4">
        <w:trPr>
          <w:trHeight w:val="4810"/>
        </w:trPr>
        <w:tc>
          <w:tcPr>
            <w:cnfStyle w:val="001000000000" w:firstRow="0" w:lastRow="0" w:firstColumn="1" w:lastColumn="0" w:oddVBand="0" w:evenVBand="0" w:oddHBand="0" w:evenHBand="0" w:firstRowFirstColumn="0" w:firstRowLastColumn="0" w:lastRowFirstColumn="0" w:lastRowLastColumn="0"/>
            <w:tcW w:w="5000" w:type="pct"/>
            <w:gridSpan w:val="3"/>
          </w:tcPr>
          <w:p w14:paraId="7BC30746" w14:textId="77777777" w:rsidR="00667A72" w:rsidRDefault="0096609A" w:rsidP="00776881">
            <w:pPr>
              <w:spacing w:before="120"/>
              <w:jc w:val="both"/>
              <w:rPr>
                <w:rFonts w:ascii="Verdana" w:hAnsi="Verdana"/>
                <w:sz w:val="18"/>
                <w:szCs w:val="18"/>
              </w:rPr>
            </w:pPr>
            <w:r>
              <w:rPr>
                <w:rFonts w:ascii="Verdana" w:hAnsi="Verdana"/>
                <w:sz w:val="18"/>
                <w:szCs w:val="18"/>
              </w:rPr>
              <w:t>Descripción del Resultado:</w:t>
            </w:r>
          </w:p>
          <w:p w14:paraId="7B970F11" w14:textId="62ECC6B9" w:rsidR="00CC6DD9" w:rsidRDefault="00AC1BC3" w:rsidP="004A54EA">
            <w:pPr>
              <w:autoSpaceDE w:val="0"/>
              <w:autoSpaceDN w:val="0"/>
              <w:adjustRightInd w:val="0"/>
              <w:jc w:val="both"/>
              <w:rPr>
                <w:rFonts w:ascii="Verdana" w:hAnsi="Verdana" w:cs="Verdana"/>
                <w:b w:val="0"/>
                <w:sz w:val="18"/>
                <w:szCs w:val="18"/>
              </w:rPr>
            </w:pPr>
            <w:r w:rsidRPr="0007661D">
              <w:rPr>
                <w:rFonts w:ascii="Verdana" w:hAnsi="Verdana" w:cs="Verdana"/>
                <w:b w:val="0"/>
                <w:sz w:val="18"/>
                <w:szCs w:val="18"/>
              </w:rPr>
              <w:t>El total de procesos programados con medición en el año 201</w:t>
            </w:r>
            <w:r w:rsidR="001220E7" w:rsidRPr="0007661D">
              <w:rPr>
                <w:rFonts w:ascii="Verdana" w:hAnsi="Verdana" w:cs="Verdana"/>
                <w:b w:val="0"/>
                <w:sz w:val="18"/>
                <w:szCs w:val="18"/>
              </w:rPr>
              <w:t>9</w:t>
            </w:r>
            <w:r w:rsidR="009D174F">
              <w:rPr>
                <w:rFonts w:ascii="Verdana" w:hAnsi="Verdana" w:cs="Verdana"/>
                <w:b w:val="0"/>
                <w:sz w:val="18"/>
                <w:szCs w:val="18"/>
              </w:rPr>
              <w:t xml:space="preserve"> </w:t>
            </w:r>
            <w:r w:rsidR="00CC6DD9">
              <w:rPr>
                <w:rFonts w:ascii="Verdana" w:hAnsi="Verdana" w:cs="Verdana"/>
                <w:b w:val="0"/>
                <w:sz w:val="18"/>
                <w:szCs w:val="18"/>
              </w:rPr>
              <w:t xml:space="preserve">eran </w:t>
            </w:r>
            <w:r w:rsidR="009D174F">
              <w:rPr>
                <w:rFonts w:ascii="Verdana" w:hAnsi="Verdana" w:cs="Verdana"/>
                <w:b w:val="0"/>
                <w:sz w:val="18"/>
                <w:szCs w:val="18"/>
              </w:rPr>
              <w:t>11, identificados en la N</w:t>
            </w:r>
            <w:r w:rsidRPr="0007661D">
              <w:rPr>
                <w:rFonts w:ascii="Verdana" w:hAnsi="Verdana" w:cs="Verdana"/>
                <w:b w:val="0"/>
                <w:sz w:val="18"/>
                <w:szCs w:val="18"/>
              </w:rPr>
              <w:t xml:space="preserve">ota </w:t>
            </w:r>
            <w:r w:rsidR="009D174F">
              <w:rPr>
                <w:rFonts w:ascii="Verdana" w:hAnsi="Verdana" w:cs="Verdana"/>
                <w:b w:val="0"/>
                <w:sz w:val="18"/>
                <w:szCs w:val="18"/>
              </w:rPr>
              <w:t>N°</w:t>
            </w:r>
            <w:r w:rsidR="00AC4160">
              <w:rPr>
                <w:rFonts w:ascii="Verdana" w:hAnsi="Verdana" w:cs="Verdana"/>
                <w:b w:val="0"/>
                <w:sz w:val="18"/>
                <w:szCs w:val="18"/>
              </w:rPr>
              <w:t>9</w:t>
            </w:r>
            <w:r w:rsidRPr="0007661D">
              <w:rPr>
                <w:rFonts w:ascii="Verdana" w:hAnsi="Verdana" w:cs="Verdana"/>
                <w:b w:val="0"/>
                <w:sz w:val="18"/>
                <w:szCs w:val="18"/>
              </w:rPr>
              <w:t xml:space="preserve"> del indicador.</w:t>
            </w:r>
            <w:r w:rsidR="00F81B50">
              <w:rPr>
                <w:rFonts w:ascii="Verdana" w:hAnsi="Verdana" w:cs="Verdana"/>
                <w:b w:val="0"/>
                <w:sz w:val="18"/>
                <w:szCs w:val="18"/>
              </w:rPr>
              <w:t xml:space="preserve"> </w:t>
            </w:r>
            <w:r w:rsidR="004A54EA" w:rsidRPr="0007661D">
              <w:rPr>
                <w:rFonts w:ascii="Verdana" w:hAnsi="Verdana" w:cs="Verdana"/>
                <w:b w:val="0"/>
                <w:sz w:val="18"/>
                <w:szCs w:val="18"/>
              </w:rPr>
              <w:t xml:space="preserve">De los 11 procesos comprometidos en el indicador, </w:t>
            </w:r>
            <w:r w:rsidR="00CC6DD9">
              <w:rPr>
                <w:rFonts w:ascii="Verdana" w:hAnsi="Verdana" w:cs="Verdana"/>
                <w:b w:val="0"/>
                <w:sz w:val="18"/>
                <w:szCs w:val="18"/>
              </w:rPr>
              <w:t>e</w:t>
            </w:r>
            <w:r w:rsidR="00CC6DD9" w:rsidRPr="0007661D">
              <w:rPr>
                <w:rFonts w:ascii="Verdana" w:hAnsi="Verdana" w:cs="Verdana"/>
                <w:b w:val="0"/>
                <w:sz w:val="18"/>
                <w:szCs w:val="18"/>
              </w:rPr>
              <w:t xml:space="preserve">l proceso Autorización de Plaguicidas, no pudo ser evaluado, debido a que no se contó </w:t>
            </w:r>
            <w:r w:rsidR="00CC6DD9">
              <w:rPr>
                <w:rFonts w:ascii="Verdana" w:hAnsi="Verdana" w:cs="Verdana"/>
                <w:b w:val="0"/>
                <w:sz w:val="18"/>
                <w:szCs w:val="18"/>
              </w:rPr>
              <w:t xml:space="preserve">oportunamente </w:t>
            </w:r>
            <w:r w:rsidR="00CC6DD9" w:rsidRPr="0007661D">
              <w:rPr>
                <w:rFonts w:ascii="Verdana" w:hAnsi="Verdana" w:cs="Verdana"/>
                <w:b w:val="0"/>
                <w:sz w:val="18"/>
                <w:szCs w:val="18"/>
              </w:rPr>
              <w:t xml:space="preserve">con la base de datos necesaria para realizar el estudio. </w:t>
            </w:r>
          </w:p>
          <w:p w14:paraId="6D29FC3B" w14:textId="77777777" w:rsidR="00CC6DD9" w:rsidRDefault="00CC6DD9" w:rsidP="004A54EA">
            <w:pPr>
              <w:autoSpaceDE w:val="0"/>
              <w:autoSpaceDN w:val="0"/>
              <w:adjustRightInd w:val="0"/>
              <w:jc w:val="both"/>
              <w:rPr>
                <w:rFonts w:ascii="Verdana" w:hAnsi="Verdana" w:cs="Verdana"/>
                <w:b w:val="0"/>
                <w:sz w:val="18"/>
                <w:szCs w:val="18"/>
              </w:rPr>
            </w:pPr>
          </w:p>
          <w:p w14:paraId="7EBE436A" w14:textId="31E4B378" w:rsidR="004A54EA" w:rsidRPr="0007661D" w:rsidRDefault="00CC6DD9" w:rsidP="004A54EA">
            <w:pPr>
              <w:autoSpaceDE w:val="0"/>
              <w:autoSpaceDN w:val="0"/>
              <w:adjustRightInd w:val="0"/>
              <w:jc w:val="both"/>
              <w:rPr>
                <w:rFonts w:ascii="Verdana" w:hAnsi="Verdana" w:cs="Verdana"/>
                <w:b w:val="0"/>
                <w:sz w:val="18"/>
                <w:szCs w:val="18"/>
              </w:rPr>
            </w:pPr>
            <w:r>
              <w:rPr>
                <w:rFonts w:ascii="Verdana" w:hAnsi="Verdana" w:cs="Verdana"/>
                <w:b w:val="0"/>
                <w:sz w:val="18"/>
                <w:szCs w:val="18"/>
              </w:rPr>
              <w:t xml:space="preserve">De los </w:t>
            </w:r>
            <w:r w:rsidR="00F81B50">
              <w:rPr>
                <w:rFonts w:ascii="Verdana" w:hAnsi="Verdana" w:cs="Verdana"/>
                <w:b w:val="0"/>
                <w:sz w:val="18"/>
                <w:szCs w:val="18"/>
              </w:rPr>
              <w:t>10 procesos</w:t>
            </w:r>
            <w:r>
              <w:rPr>
                <w:rFonts w:ascii="Verdana" w:hAnsi="Verdana" w:cs="Verdana"/>
                <w:b w:val="0"/>
                <w:sz w:val="18"/>
                <w:szCs w:val="18"/>
              </w:rPr>
              <w:t xml:space="preserve"> que se midieron en el año 2019, </w:t>
            </w:r>
            <w:r w:rsidR="004A54EA" w:rsidRPr="0007661D">
              <w:rPr>
                <w:rFonts w:ascii="Verdana" w:hAnsi="Verdana" w:cs="Verdana"/>
                <w:b w:val="0"/>
                <w:sz w:val="18"/>
                <w:szCs w:val="18"/>
              </w:rPr>
              <w:t xml:space="preserve">el </w:t>
            </w:r>
            <w:r>
              <w:rPr>
                <w:rFonts w:ascii="Verdana" w:hAnsi="Verdana" w:cs="Verdana"/>
                <w:b w:val="0"/>
                <w:sz w:val="18"/>
                <w:szCs w:val="18"/>
              </w:rPr>
              <w:t>90</w:t>
            </w:r>
            <w:r w:rsidR="004A54EA" w:rsidRPr="0007661D">
              <w:rPr>
                <w:rFonts w:ascii="Verdana" w:hAnsi="Verdana" w:cs="Verdana"/>
                <w:b w:val="0"/>
                <w:sz w:val="18"/>
                <w:szCs w:val="18"/>
              </w:rPr>
              <w:t xml:space="preserve">% de ellos (9), lograron una evaluación general igual o superior a 5,9. Sólo el proceso SIAC- </w:t>
            </w:r>
            <w:proofErr w:type="spellStart"/>
            <w:r w:rsidR="004A54EA" w:rsidRPr="0007661D">
              <w:rPr>
                <w:rFonts w:ascii="Verdana" w:hAnsi="Verdana" w:cs="Verdana"/>
                <w:b w:val="0"/>
                <w:sz w:val="18"/>
                <w:szCs w:val="18"/>
              </w:rPr>
              <w:t>Call</w:t>
            </w:r>
            <w:proofErr w:type="spellEnd"/>
            <w:r w:rsidR="004A54EA" w:rsidRPr="0007661D">
              <w:rPr>
                <w:rFonts w:ascii="Verdana" w:hAnsi="Verdana" w:cs="Verdana"/>
                <w:b w:val="0"/>
                <w:sz w:val="18"/>
                <w:szCs w:val="18"/>
              </w:rPr>
              <w:t xml:space="preserve"> Center obtuvo una evaluación inferior (5,6).  El proceso con la mejor calificación (6,59) corresponde a “Inspección del medio de transporte terrestre en el control fronterizo”, mientras que el proceso con la calificación más baja (5,6) corresponde al </w:t>
            </w:r>
            <w:proofErr w:type="spellStart"/>
            <w:r w:rsidR="004A54EA" w:rsidRPr="0007661D">
              <w:rPr>
                <w:rFonts w:ascii="Verdana" w:hAnsi="Verdana" w:cs="Verdana"/>
                <w:b w:val="0"/>
                <w:sz w:val="18"/>
                <w:szCs w:val="18"/>
              </w:rPr>
              <w:t>Call</w:t>
            </w:r>
            <w:proofErr w:type="spellEnd"/>
            <w:r w:rsidR="004A54EA" w:rsidRPr="0007661D">
              <w:rPr>
                <w:rFonts w:ascii="Verdana" w:hAnsi="Verdana" w:cs="Verdana"/>
                <w:b w:val="0"/>
                <w:sz w:val="18"/>
                <w:szCs w:val="18"/>
              </w:rPr>
              <w:t xml:space="preserve"> Center del Sistema Integral de Atención Ciudadana. No obstante, el desempeño del indicador fue mejor que el del año 2018 (63,6%), lo que refleja el esfuerzo del Servicio por continuar mejorando la satisfacción de sus usuarios. </w:t>
            </w:r>
          </w:p>
          <w:p w14:paraId="642D2D92" w14:textId="77777777" w:rsidR="004A54EA" w:rsidRPr="0007661D" w:rsidRDefault="004A54EA" w:rsidP="004A54EA">
            <w:pPr>
              <w:autoSpaceDE w:val="0"/>
              <w:autoSpaceDN w:val="0"/>
              <w:adjustRightInd w:val="0"/>
              <w:jc w:val="both"/>
              <w:rPr>
                <w:rFonts w:ascii="Verdana" w:hAnsi="Verdana" w:cs="Verdana"/>
                <w:b w:val="0"/>
                <w:sz w:val="18"/>
                <w:szCs w:val="18"/>
              </w:rPr>
            </w:pPr>
          </w:p>
          <w:tbl>
            <w:tblPr>
              <w:tblW w:w="8602" w:type="dxa"/>
              <w:tblCellMar>
                <w:left w:w="70" w:type="dxa"/>
                <w:right w:w="70" w:type="dxa"/>
              </w:tblCellMar>
              <w:tblLook w:val="04A0" w:firstRow="1" w:lastRow="0" w:firstColumn="1" w:lastColumn="0" w:noHBand="0" w:noVBand="1"/>
            </w:tblPr>
            <w:tblGrid>
              <w:gridCol w:w="6396"/>
              <w:gridCol w:w="2206"/>
            </w:tblGrid>
            <w:tr w:rsidR="004A54EA" w:rsidRPr="0007661D" w14:paraId="11233533" w14:textId="77777777" w:rsidTr="0007661D">
              <w:trPr>
                <w:trHeight w:val="70"/>
              </w:trPr>
              <w:tc>
                <w:tcPr>
                  <w:tcW w:w="639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343A21D1" w14:textId="77777777" w:rsidR="004A54EA" w:rsidRPr="0007661D" w:rsidRDefault="004A54EA" w:rsidP="004A54EA">
                  <w:pPr>
                    <w:spacing w:after="0" w:line="240" w:lineRule="auto"/>
                    <w:rPr>
                      <w:rFonts w:ascii="Verdana" w:eastAsia="Times New Roman" w:hAnsi="Verdana" w:cs="Calibri"/>
                      <w:b/>
                      <w:color w:val="000000"/>
                      <w:sz w:val="18"/>
                      <w:szCs w:val="18"/>
                      <w:lang w:eastAsia="es-CL"/>
                    </w:rPr>
                  </w:pPr>
                  <w:r w:rsidRPr="0007661D">
                    <w:rPr>
                      <w:rFonts w:ascii="Verdana" w:eastAsia="Times New Roman" w:hAnsi="Verdana" w:cs="Calibri"/>
                      <w:b/>
                      <w:color w:val="000000"/>
                      <w:sz w:val="18"/>
                      <w:szCs w:val="18"/>
                      <w:lang w:eastAsia="es-CL"/>
                    </w:rPr>
                    <w:t>Proceso</w:t>
                  </w:r>
                </w:p>
              </w:tc>
              <w:tc>
                <w:tcPr>
                  <w:tcW w:w="2206"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3530185B" w14:textId="77777777" w:rsidR="004A54EA" w:rsidRPr="0007661D" w:rsidRDefault="004A54EA" w:rsidP="00260B1F">
                  <w:pPr>
                    <w:spacing w:after="0" w:line="240" w:lineRule="auto"/>
                    <w:rPr>
                      <w:rFonts w:ascii="Verdana" w:eastAsia="Times New Roman" w:hAnsi="Verdana" w:cs="Calibri"/>
                      <w:b/>
                      <w:color w:val="000000"/>
                      <w:sz w:val="18"/>
                      <w:szCs w:val="18"/>
                      <w:lang w:eastAsia="es-CL"/>
                    </w:rPr>
                  </w:pPr>
                  <w:r w:rsidRPr="0007661D">
                    <w:rPr>
                      <w:rFonts w:ascii="Verdana" w:eastAsia="Times New Roman" w:hAnsi="Verdana" w:cs="Calibri"/>
                      <w:b/>
                      <w:color w:val="000000"/>
                      <w:sz w:val="18"/>
                      <w:szCs w:val="18"/>
                      <w:lang w:eastAsia="es-CL"/>
                    </w:rPr>
                    <w:t>Eva</w:t>
                  </w:r>
                  <w:r w:rsidR="00260B1F" w:rsidRPr="0007661D">
                    <w:rPr>
                      <w:rFonts w:ascii="Verdana" w:eastAsia="Times New Roman" w:hAnsi="Verdana" w:cs="Calibri"/>
                      <w:b/>
                      <w:color w:val="000000"/>
                      <w:sz w:val="18"/>
                      <w:szCs w:val="18"/>
                      <w:lang w:eastAsia="es-CL"/>
                    </w:rPr>
                    <w:t>luación</w:t>
                  </w:r>
                  <w:r w:rsidRPr="0007661D">
                    <w:rPr>
                      <w:rFonts w:ascii="Verdana" w:eastAsia="Times New Roman" w:hAnsi="Verdana" w:cs="Calibri"/>
                      <w:b/>
                      <w:color w:val="000000"/>
                      <w:sz w:val="18"/>
                      <w:szCs w:val="18"/>
                      <w:lang w:eastAsia="es-CL"/>
                    </w:rPr>
                    <w:t xml:space="preserve"> General</w:t>
                  </w:r>
                </w:p>
              </w:tc>
            </w:tr>
            <w:tr w:rsidR="004A54EA" w:rsidRPr="0007661D" w14:paraId="1BF434E8" w14:textId="77777777" w:rsidTr="006265F8">
              <w:trPr>
                <w:trHeight w:val="280"/>
              </w:trPr>
              <w:tc>
                <w:tcPr>
                  <w:tcW w:w="6396" w:type="dxa"/>
                  <w:tcBorders>
                    <w:top w:val="nil"/>
                    <w:left w:val="single" w:sz="4" w:space="0" w:color="auto"/>
                    <w:bottom w:val="single" w:sz="4" w:space="0" w:color="auto"/>
                    <w:right w:val="single" w:sz="4" w:space="0" w:color="auto"/>
                  </w:tcBorders>
                  <w:shd w:val="clear" w:color="auto" w:fill="auto"/>
                  <w:noWrap/>
                  <w:vAlign w:val="center"/>
                  <w:hideMark/>
                </w:tcPr>
                <w:p w14:paraId="0EBCACB6" w14:textId="77777777" w:rsidR="004A54EA" w:rsidRPr="0007661D" w:rsidRDefault="004A54EA" w:rsidP="00260B1F">
                  <w:pPr>
                    <w:spacing w:after="0" w:line="240" w:lineRule="auto"/>
                    <w:rPr>
                      <w:rFonts w:ascii="Verdana" w:hAnsi="Verdana" w:cs="Verdana"/>
                      <w:bCs/>
                      <w:sz w:val="18"/>
                      <w:szCs w:val="18"/>
                    </w:rPr>
                  </w:pPr>
                  <w:r w:rsidRPr="0007661D">
                    <w:rPr>
                      <w:rFonts w:ascii="Verdana" w:hAnsi="Verdana" w:cs="Verdana"/>
                      <w:bCs/>
                      <w:sz w:val="18"/>
                      <w:szCs w:val="18"/>
                    </w:rPr>
                    <w:t>Inspección del medio de transporte terrestre en el control fronterizo.</w:t>
                  </w:r>
                </w:p>
              </w:tc>
              <w:tc>
                <w:tcPr>
                  <w:tcW w:w="2206" w:type="dxa"/>
                  <w:tcBorders>
                    <w:top w:val="nil"/>
                    <w:left w:val="nil"/>
                    <w:bottom w:val="single" w:sz="4" w:space="0" w:color="auto"/>
                    <w:right w:val="single" w:sz="4" w:space="0" w:color="auto"/>
                  </w:tcBorders>
                  <w:shd w:val="clear" w:color="auto" w:fill="auto"/>
                  <w:noWrap/>
                  <w:vAlign w:val="center"/>
                  <w:hideMark/>
                </w:tcPr>
                <w:p w14:paraId="773A8B05" w14:textId="77777777" w:rsidR="004A54EA" w:rsidRPr="0007661D" w:rsidRDefault="004A54EA" w:rsidP="00260B1F">
                  <w:pPr>
                    <w:spacing w:after="0" w:line="240" w:lineRule="auto"/>
                    <w:jc w:val="center"/>
                    <w:rPr>
                      <w:rFonts w:ascii="Verdana" w:hAnsi="Verdana" w:cs="Verdana"/>
                      <w:bCs/>
                      <w:sz w:val="18"/>
                      <w:szCs w:val="18"/>
                    </w:rPr>
                  </w:pPr>
                  <w:r w:rsidRPr="0007661D">
                    <w:rPr>
                      <w:rFonts w:ascii="Verdana" w:hAnsi="Verdana" w:cs="Verdana"/>
                      <w:bCs/>
                      <w:sz w:val="18"/>
                      <w:szCs w:val="18"/>
                    </w:rPr>
                    <w:t>6,59</w:t>
                  </w:r>
                </w:p>
              </w:tc>
            </w:tr>
            <w:tr w:rsidR="004A54EA" w:rsidRPr="0007661D" w14:paraId="230F1354" w14:textId="77777777" w:rsidTr="0007661D">
              <w:trPr>
                <w:trHeight w:val="300"/>
              </w:trPr>
              <w:tc>
                <w:tcPr>
                  <w:tcW w:w="6396" w:type="dxa"/>
                  <w:tcBorders>
                    <w:top w:val="nil"/>
                    <w:left w:val="single" w:sz="4" w:space="0" w:color="auto"/>
                    <w:bottom w:val="single" w:sz="4" w:space="0" w:color="auto"/>
                    <w:right w:val="single" w:sz="4" w:space="0" w:color="auto"/>
                  </w:tcBorders>
                  <w:shd w:val="clear" w:color="auto" w:fill="auto"/>
                  <w:noWrap/>
                  <w:vAlign w:val="center"/>
                  <w:hideMark/>
                </w:tcPr>
                <w:p w14:paraId="029E65F4" w14:textId="77777777" w:rsidR="004A54EA" w:rsidRPr="0007661D" w:rsidRDefault="004A54EA" w:rsidP="00260B1F">
                  <w:pPr>
                    <w:spacing w:after="0" w:line="240" w:lineRule="auto"/>
                    <w:rPr>
                      <w:rFonts w:ascii="Verdana" w:hAnsi="Verdana" w:cs="Verdana"/>
                      <w:bCs/>
                      <w:sz w:val="18"/>
                      <w:szCs w:val="18"/>
                    </w:rPr>
                  </w:pPr>
                  <w:r w:rsidRPr="0007661D">
                    <w:rPr>
                      <w:rFonts w:ascii="Verdana" w:hAnsi="Verdana" w:cs="Verdana"/>
                      <w:bCs/>
                      <w:sz w:val="18"/>
                      <w:szCs w:val="18"/>
                    </w:rPr>
                    <w:t xml:space="preserve">Certificación de productos pecuarios para la exportación. </w:t>
                  </w:r>
                </w:p>
              </w:tc>
              <w:tc>
                <w:tcPr>
                  <w:tcW w:w="2206" w:type="dxa"/>
                  <w:tcBorders>
                    <w:top w:val="nil"/>
                    <w:left w:val="nil"/>
                    <w:bottom w:val="single" w:sz="4" w:space="0" w:color="auto"/>
                    <w:right w:val="single" w:sz="4" w:space="0" w:color="auto"/>
                  </w:tcBorders>
                  <w:shd w:val="clear" w:color="auto" w:fill="auto"/>
                  <w:noWrap/>
                  <w:vAlign w:val="center"/>
                  <w:hideMark/>
                </w:tcPr>
                <w:p w14:paraId="11B9E190" w14:textId="77777777" w:rsidR="004A54EA" w:rsidRPr="0007661D" w:rsidRDefault="004A54EA" w:rsidP="00260B1F">
                  <w:pPr>
                    <w:spacing w:after="0" w:line="240" w:lineRule="auto"/>
                    <w:jc w:val="center"/>
                    <w:rPr>
                      <w:rFonts w:ascii="Verdana" w:hAnsi="Verdana" w:cs="Verdana"/>
                      <w:bCs/>
                      <w:sz w:val="18"/>
                      <w:szCs w:val="18"/>
                    </w:rPr>
                  </w:pPr>
                  <w:r w:rsidRPr="0007661D">
                    <w:rPr>
                      <w:rFonts w:ascii="Verdana" w:hAnsi="Verdana" w:cs="Verdana"/>
                      <w:bCs/>
                      <w:sz w:val="18"/>
                      <w:szCs w:val="18"/>
                    </w:rPr>
                    <w:t>6,40</w:t>
                  </w:r>
                </w:p>
              </w:tc>
            </w:tr>
            <w:tr w:rsidR="004A54EA" w:rsidRPr="0007661D" w14:paraId="69F9E750" w14:textId="77777777" w:rsidTr="00A533A5">
              <w:trPr>
                <w:trHeight w:val="560"/>
              </w:trPr>
              <w:tc>
                <w:tcPr>
                  <w:tcW w:w="6396" w:type="dxa"/>
                  <w:tcBorders>
                    <w:top w:val="nil"/>
                    <w:left w:val="single" w:sz="4" w:space="0" w:color="auto"/>
                    <w:bottom w:val="single" w:sz="4" w:space="0" w:color="auto"/>
                    <w:right w:val="single" w:sz="4" w:space="0" w:color="auto"/>
                  </w:tcBorders>
                  <w:shd w:val="clear" w:color="auto" w:fill="auto"/>
                  <w:noWrap/>
                  <w:vAlign w:val="center"/>
                  <w:hideMark/>
                </w:tcPr>
                <w:p w14:paraId="146548F9" w14:textId="77777777" w:rsidR="004A54EA" w:rsidRPr="0007661D" w:rsidRDefault="004A54EA" w:rsidP="00260B1F">
                  <w:pPr>
                    <w:spacing w:after="0" w:line="240" w:lineRule="auto"/>
                    <w:rPr>
                      <w:rFonts w:ascii="Verdana" w:hAnsi="Verdana" w:cs="Verdana"/>
                      <w:bCs/>
                      <w:sz w:val="18"/>
                      <w:szCs w:val="18"/>
                    </w:rPr>
                  </w:pPr>
                  <w:r w:rsidRPr="0007661D">
                    <w:rPr>
                      <w:rFonts w:ascii="Verdana" w:hAnsi="Verdana" w:cs="Verdana"/>
                      <w:bCs/>
                      <w:sz w:val="18"/>
                      <w:szCs w:val="18"/>
                    </w:rPr>
                    <w:t>Inspección del equipaje acompañando de pasajeros y tripulantes que ingresan al país a través de un  control fronterizo.</w:t>
                  </w:r>
                </w:p>
              </w:tc>
              <w:tc>
                <w:tcPr>
                  <w:tcW w:w="2206" w:type="dxa"/>
                  <w:tcBorders>
                    <w:top w:val="nil"/>
                    <w:left w:val="nil"/>
                    <w:bottom w:val="single" w:sz="4" w:space="0" w:color="auto"/>
                    <w:right w:val="single" w:sz="4" w:space="0" w:color="auto"/>
                  </w:tcBorders>
                  <w:shd w:val="clear" w:color="auto" w:fill="auto"/>
                  <w:noWrap/>
                  <w:vAlign w:val="center"/>
                  <w:hideMark/>
                </w:tcPr>
                <w:p w14:paraId="0CAD2891" w14:textId="77777777" w:rsidR="004A54EA" w:rsidRPr="0007661D" w:rsidRDefault="004A54EA" w:rsidP="00260B1F">
                  <w:pPr>
                    <w:spacing w:after="0" w:line="240" w:lineRule="auto"/>
                    <w:jc w:val="center"/>
                    <w:rPr>
                      <w:rFonts w:ascii="Verdana" w:hAnsi="Verdana" w:cs="Verdana"/>
                      <w:bCs/>
                      <w:sz w:val="18"/>
                      <w:szCs w:val="18"/>
                    </w:rPr>
                  </w:pPr>
                  <w:r w:rsidRPr="0007661D">
                    <w:rPr>
                      <w:rFonts w:ascii="Verdana" w:hAnsi="Verdana" w:cs="Verdana"/>
                      <w:bCs/>
                      <w:sz w:val="18"/>
                      <w:szCs w:val="18"/>
                    </w:rPr>
                    <w:t>6,37</w:t>
                  </w:r>
                </w:p>
              </w:tc>
            </w:tr>
            <w:tr w:rsidR="004A54EA" w:rsidRPr="0007661D" w14:paraId="597C7A36" w14:textId="77777777" w:rsidTr="0007661D">
              <w:trPr>
                <w:trHeight w:val="300"/>
              </w:trPr>
              <w:tc>
                <w:tcPr>
                  <w:tcW w:w="6396" w:type="dxa"/>
                  <w:tcBorders>
                    <w:top w:val="nil"/>
                    <w:left w:val="single" w:sz="4" w:space="0" w:color="auto"/>
                    <w:bottom w:val="single" w:sz="4" w:space="0" w:color="auto"/>
                    <w:right w:val="single" w:sz="4" w:space="0" w:color="auto"/>
                  </w:tcBorders>
                  <w:shd w:val="clear" w:color="auto" w:fill="auto"/>
                  <w:noWrap/>
                  <w:vAlign w:val="center"/>
                  <w:hideMark/>
                </w:tcPr>
                <w:p w14:paraId="332BE173" w14:textId="77777777" w:rsidR="004A54EA" w:rsidRPr="0007661D" w:rsidRDefault="004A54EA" w:rsidP="00260B1F">
                  <w:pPr>
                    <w:spacing w:after="0" w:line="240" w:lineRule="auto"/>
                    <w:rPr>
                      <w:rFonts w:ascii="Verdana" w:hAnsi="Verdana" w:cs="Verdana"/>
                      <w:bCs/>
                      <w:sz w:val="18"/>
                      <w:szCs w:val="18"/>
                    </w:rPr>
                  </w:pPr>
                  <w:r w:rsidRPr="0007661D">
                    <w:rPr>
                      <w:rFonts w:ascii="Verdana" w:hAnsi="Verdana" w:cs="Verdana"/>
                      <w:bCs/>
                      <w:sz w:val="18"/>
                      <w:szCs w:val="18"/>
                    </w:rPr>
                    <w:t>Registro de productos farmacéuticos de uso exclusivamente veterinario</w:t>
                  </w:r>
                </w:p>
              </w:tc>
              <w:tc>
                <w:tcPr>
                  <w:tcW w:w="2206" w:type="dxa"/>
                  <w:tcBorders>
                    <w:top w:val="nil"/>
                    <w:left w:val="nil"/>
                    <w:bottom w:val="single" w:sz="4" w:space="0" w:color="auto"/>
                    <w:right w:val="single" w:sz="4" w:space="0" w:color="auto"/>
                  </w:tcBorders>
                  <w:shd w:val="clear" w:color="auto" w:fill="auto"/>
                  <w:noWrap/>
                  <w:vAlign w:val="center"/>
                  <w:hideMark/>
                </w:tcPr>
                <w:p w14:paraId="3574B625" w14:textId="77777777" w:rsidR="004A54EA" w:rsidRPr="0007661D" w:rsidRDefault="004A54EA" w:rsidP="00260B1F">
                  <w:pPr>
                    <w:spacing w:after="0" w:line="240" w:lineRule="auto"/>
                    <w:jc w:val="center"/>
                    <w:rPr>
                      <w:rFonts w:ascii="Verdana" w:hAnsi="Verdana" w:cs="Verdana"/>
                      <w:bCs/>
                      <w:sz w:val="18"/>
                      <w:szCs w:val="18"/>
                    </w:rPr>
                  </w:pPr>
                  <w:r w:rsidRPr="0007661D">
                    <w:rPr>
                      <w:rFonts w:ascii="Verdana" w:hAnsi="Verdana" w:cs="Verdana"/>
                      <w:bCs/>
                      <w:sz w:val="18"/>
                      <w:szCs w:val="18"/>
                    </w:rPr>
                    <w:t>6,30</w:t>
                  </w:r>
                </w:p>
              </w:tc>
            </w:tr>
            <w:tr w:rsidR="004A54EA" w:rsidRPr="0007661D" w14:paraId="61722378" w14:textId="77777777" w:rsidTr="0007661D">
              <w:trPr>
                <w:trHeight w:val="300"/>
              </w:trPr>
              <w:tc>
                <w:tcPr>
                  <w:tcW w:w="6396" w:type="dxa"/>
                  <w:tcBorders>
                    <w:top w:val="nil"/>
                    <w:left w:val="single" w:sz="4" w:space="0" w:color="auto"/>
                    <w:bottom w:val="single" w:sz="4" w:space="0" w:color="auto"/>
                    <w:right w:val="single" w:sz="4" w:space="0" w:color="auto"/>
                  </w:tcBorders>
                  <w:shd w:val="clear" w:color="auto" w:fill="auto"/>
                  <w:noWrap/>
                  <w:vAlign w:val="center"/>
                  <w:hideMark/>
                </w:tcPr>
                <w:p w14:paraId="1769627B" w14:textId="77777777" w:rsidR="004A54EA" w:rsidRPr="0007661D" w:rsidRDefault="00260B1F" w:rsidP="00260B1F">
                  <w:pPr>
                    <w:spacing w:after="0" w:line="240" w:lineRule="auto"/>
                    <w:rPr>
                      <w:rFonts w:ascii="Verdana" w:hAnsi="Verdana" w:cs="Verdana"/>
                      <w:bCs/>
                      <w:sz w:val="18"/>
                      <w:szCs w:val="18"/>
                    </w:rPr>
                  </w:pPr>
                  <w:r w:rsidRPr="0007661D">
                    <w:rPr>
                      <w:rFonts w:ascii="Verdana" w:hAnsi="Verdana" w:cs="Verdana"/>
                      <w:bCs/>
                      <w:sz w:val="18"/>
                      <w:szCs w:val="18"/>
                    </w:rPr>
                    <w:t xml:space="preserve">Certificación Fitosanitaria para la </w:t>
                  </w:r>
                  <w:r w:rsidR="004A54EA" w:rsidRPr="0007661D">
                    <w:rPr>
                      <w:rFonts w:ascii="Verdana" w:hAnsi="Verdana" w:cs="Verdana"/>
                      <w:bCs/>
                      <w:sz w:val="18"/>
                      <w:szCs w:val="18"/>
                    </w:rPr>
                    <w:t xml:space="preserve">exportación de productos agrícolas y forestales. </w:t>
                  </w:r>
                </w:p>
              </w:tc>
              <w:tc>
                <w:tcPr>
                  <w:tcW w:w="2206" w:type="dxa"/>
                  <w:tcBorders>
                    <w:top w:val="nil"/>
                    <w:left w:val="nil"/>
                    <w:bottom w:val="single" w:sz="4" w:space="0" w:color="auto"/>
                    <w:right w:val="single" w:sz="4" w:space="0" w:color="auto"/>
                  </w:tcBorders>
                  <w:shd w:val="clear" w:color="auto" w:fill="auto"/>
                  <w:noWrap/>
                  <w:vAlign w:val="center"/>
                  <w:hideMark/>
                </w:tcPr>
                <w:p w14:paraId="40F3BBA3" w14:textId="77777777" w:rsidR="004A54EA" w:rsidRPr="0007661D" w:rsidRDefault="004A54EA" w:rsidP="00260B1F">
                  <w:pPr>
                    <w:spacing w:after="0" w:line="240" w:lineRule="auto"/>
                    <w:jc w:val="center"/>
                    <w:rPr>
                      <w:rFonts w:ascii="Verdana" w:hAnsi="Verdana" w:cs="Verdana"/>
                      <w:bCs/>
                      <w:sz w:val="18"/>
                      <w:szCs w:val="18"/>
                    </w:rPr>
                  </w:pPr>
                  <w:r w:rsidRPr="0007661D">
                    <w:rPr>
                      <w:rFonts w:ascii="Verdana" w:hAnsi="Verdana" w:cs="Verdana"/>
                      <w:bCs/>
                      <w:sz w:val="18"/>
                      <w:szCs w:val="18"/>
                    </w:rPr>
                    <w:t>6,30</w:t>
                  </w:r>
                </w:p>
              </w:tc>
            </w:tr>
            <w:tr w:rsidR="004A54EA" w:rsidRPr="0007661D" w14:paraId="7B3F87A9" w14:textId="77777777" w:rsidTr="0007661D">
              <w:trPr>
                <w:trHeight w:val="300"/>
              </w:trPr>
              <w:tc>
                <w:tcPr>
                  <w:tcW w:w="6396" w:type="dxa"/>
                  <w:tcBorders>
                    <w:top w:val="nil"/>
                    <w:left w:val="single" w:sz="4" w:space="0" w:color="auto"/>
                    <w:bottom w:val="single" w:sz="4" w:space="0" w:color="auto"/>
                    <w:right w:val="single" w:sz="4" w:space="0" w:color="auto"/>
                  </w:tcBorders>
                  <w:shd w:val="clear" w:color="auto" w:fill="auto"/>
                  <w:noWrap/>
                  <w:vAlign w:val="center"/>
                  <w:hideMark/>
                </w:tcPr>
                <w:p w14:paraId="72C7A8D4" w14:textId="77777777" w:rsidR="004A54EA" w:rsidRPr="0007661D" w:rsidRDefault="004A54EA" w:rsidP="00260B1F">
                  <w:pPr>
                    <w:spacing w:after="0" w:line="240" w:lineRule="auto"/>
                    <w:rPr>
                      <w:rFonts w:ascii="Verdana" w:hAnsi="Verdana" w:cs="Verdana"/>
                      <w:bCs/>
                      <w:sz w:val="18"/>
                      <w:szCs w:val="18"/>
                    </w:rPr>
                  </w:pPr>
                  <w:r w:rsidRPr="0007661D">
                    <w:rPr>
                      <w:rFonts w:ascii="Verdana" w:hAnsi="Verdana" w:cs="Verdana"/>
                      <w:bCs/>
                      <w:sz w:val="18"/>
                      <w:szCs w:val="18"/>
                    </w:rPr>
                    <w:t>SIAC-Atención presencial</w:t>
                  </w:r>
                </w:p>
              </w:tc>
              <w:tc>
                <w:tcPr>
                  <w:tcW w:w="2206" w:type="dxa"/>
                  <w:tcBorders>
                    <w:top w:val="nil"/>
                    <w:left w:val="nil"/>
                    <w:bottom w:val="single" w:sz="4" w:space="0" w:color="auto"/>
                    <w:right w:val="single" w:sz="4" w:space="0" w:color="auto"/>
                  </w:tcBorders>
                  <w:shd w:val="clear" w:color="auto" w:fill="auto"/>
                  <w:noWrap/>
                  <w:vAlign w:val="center"/>
                  <w:hideMark/>
                </w:tcPr>
                <w:p w14:paraId="70A4BEFB" w14:textId="77777777" w:rsidR="004A54EA" w:rsidRPr="0007661D" w:rsidRDefault="004A54EA" w:rsidP="00260B1F">
                  <w:pPr>
                    <w:spacing w:after="0" w:line="240" w:lineRule="auto"/>
                    <w:jc w:val="center"/>
                    <w:rPr>
                      <w:rFonts w:ascii="Verdana" w:hAnsi="Verdana" w:cs="Verdana"/>
                      <w:bCs/>
                      <w:sz w:val="18"/>
                      <w:szCs w:val="18"/>
                    </w:rPr>
                  </w:pPr>
                  <w:r w:rsidRPr="0007661D">
                    <w:rPr>
                      <w:rFonts w:ascii="Verdana" w:hAnsi="Verdana" w:cs="Verdana"/>
                      <w:bCs/>
                      <w:sz w:val="18"/>
                      <w:szCs w:val="18"/>
                    </w:rPr>
                    <w:t>6,30</w:t>
                  </w:r>
                </w:p>
              </w:tc>
            </w:tr>
            <w:tr w:rsidR="004A54EA" w:rsidRPr="0007661D" w14:paraId="6EA72345" w14:textId="77777777" w:rsidTr="0007661D">
              <w:trPr>
                <w:trHeight w:val="300"/>
              </w:trPr>
              <w:tc>
                <w:tcPr>
                  <w:tcW w:w="6396" w:type="dxa"/>
                  <w:tcBorders>
                    <w:top w:val="nil"/>
                    <w:left w:val="single" w:sz="4" w:space="0" w:color="auto"/>
                    <w:bottom w:val="single" w:sz="4" w:space="0" w:color="auto"/>
                    <w:right w:val="single" w:sz="4" w:space="0" w:color="auto"/>
                  </w:tcBorders>
                  <w:shd w:val="clear" w:color="auto" w:fill="auto"/>
                  <w:noWrap/>
                  <w:vAlign w:val="center"/>
                  <w:hideMark/>
                </w:tcPr>
                <w:p w14:paraId="4F444E90" w14:textId="77777777" w:rsidR="004A54EA" w:rsidRPr="0007661D" w:rsidRDefault="004A54EA" w:rsidP="00260B1F">
                  <w:pPr>
                    <w:spacing w:after="0" w:line="240" w:lineRule="auto"/>
                    <w:rPr>
                      <w:rFonts w:ascii="Verdana" w:hAnsi="Verdana" w:cs="Verdana"/>
                      <w:bCs/>
                      <w:sz w:val="18"/>
                      <w:szCs w:val="18"/>
                    </w:rPr>
                  </w:pPr>
                  <w:r w:rsidRPr="0007661D">
                    <w:rPr>
                      <w:rFonts w:ascii="Verdana" w:hAnsi="Verdana" w:cs="Verdana"/>
                      <w:bCs/>
                      <w:sz w:val="18"/>
                      <w:szCs w:val="18"/>
                    </w:rPr>
                    <w:t>Sistema de incentivos para la recuperación de suelos degradados.</w:t>
                  </w:r>
                </w:p>
              </w:tc>
              <w:tc>
                <w:tcPr>
                  <w:tcW w:w="2206" w:type="dxa"/>
                  <w:tcBorders>
                    <w:top w:val="nil"/>
                    <w:left w:val="nil"/>
                    <w:bottom w:val="single" w:sz="4" w:space="0" w:color="auto"/>
                    <w:right w:val="single" w:sz="4" w:space="0" w:color="auto"/>
                  </w:tcBorders>
                  <w:shd w:val="clear" w:color="auto" w:fill="auto"/>
                  <w:noWrap/>
                  <w:vAlign w:val="center"/>
                  <w:hideMark/>
                </w:tcPr>
                <w:p w14:paraId="0A86C102" w14:textId="77777777" w:rsidR="004A54EA" w:rsidRPr="0007661D" w:rsidRDefault="004A54EA" w:rsidP="00260B1F">
                  <w:pPr>
                    <w:spacing w:after="0" w:line="240" w:lineRule="auto"/>
                    <w:jc w:val="center"/>
                    <w:rPr>
                      <w:rFonts w:ascii="Verdana" w:hAnsi="Verdana" w:cs="Verdana"/>
                      <w:bCs/>
                      <w:sz w:val="18"/>
                      <w:szCs w:val="18"/>
                    </w:rPr>
                  </w:pPr>
                  <w:r w:rsidRPr="0007661D">
                    <w:rPr>
                      <w:rFonts w:ascii="Verdana" w:hAnsi="Verdana" w:cs="Verdana"/>
                      <w:bCs/>
                      <w:sz w:val="18"/>
                      <w:szCs w:val="18"/>
                    </w:rPr>
                    <w:t>6,00</w:t>
                  </w:r>
                </w:p>
              </w:tc>
            </w:tr>
            <w:tr w:rsidR="004A54EA" w:rsidRPr="0007661D" w14:paraId="1B45ADEA" w14:textId="77777777" w:rsidTr="0007661D">
              <w:trPr>
                <w:trHeight w:val="300"/>
              </w:trPr>
              <w:tc>
                <w:tcPr>
                  <w:tcW w:w="6396" w:type="dxa"/>
                  <w:tcBorders>
                    <w:top w:val="nil"/>
                    <w:left w:val="single" w:sz="4" w:space="0" w:color="auto"/>
                    <w:bottom w:val="single" w:sz="4" w:space="0" w:color="auto"/>
                    <w:right w:val="single" w:sz="4" w:space="0" w:color="auto"/>
                  </w:tcBorders>
                  <w:shd w:val="clear" w:color="auto" w:fill="auto"/>
                  <w:noWrap/>
                  <w:vAlign w:val="center"/>
                  <w:hideMark/>
                </w:tcPr>
                <w:p w14:paraId="1D00FB17" w14:textId="77777777" w:rsidR="004A54EA" w:rsidRPr="0007661D" w:rsidRDefault="004A54EA" w:rsidP="00260B1F">
                  <w:pPr>
                    <w:spacing w:after="0" w:line="240" w:lineRule="auto"/>
                    <w:rPr>
                      <w:rFonts w:ascii="Verdana" w:hAnsi="Verdana" w:cs="Verdana"/>
                      <w:bCs/>
                      <w:sz w:val="18"/>
                      <w:szCs w:val="18"/>
                    </w:rPr>
                  </w:pPr>
                  <w:r w:rsidRPr="0007661D">
                    <w:rPr>
                      <w:rFonts w:ascii="Verdana" w:hAnsi="Verdana" w:cs="Verdana"/>
                      <w:bCs/>
                      <w:sz w:val="18"/>
                      <w:szCs w:val="18"/>
                    </w:rPr>
                    <w:t xml:space="preserve">Registro de Variedades Protegidas. </w:t>
                  </w:r>
                </w:p>
              </w:tc>
              <w:tc>
                <w:tcPr>
                  <w:tcW w:w="2206" w:type="dxa"/>
                  <w:tcBorders>
                    <w:top w:val="nil"/>
                    <w:left w:val="nil"/>
                    <w:bottom w:val="single" w:sz="4" w:space="0" w:color="auto"/>
                    <w:right w:val="single" w:sz="4" w:space="0" w:color="auto"/>
                  </w:tcBorders>
                  <w:shd w:val="clear" w:color="auto" w:fill="auto"/>
                  <w:noWrap/>
                  <w:vAlign w:val="center"/>
                  <w:hideMark/>
                </w:tcPr>
                <w:p w14:paraId="49AD5FEC" w14:textId="77777777" w:rsidR="004A54EA" w:rsidRPr="0007661D" w:rsidRDefault="004A54EA" w:rsidP="00260B1F">
                  <w:pPr>
                    <w:spacing w:after="0" w:line="240" w:lineRule="auto"/>
                    <w:jc w:val="center"/>
                    <w:rPr>
                      <w:rFonts w:ascii="Verdana" w:hAnsi="Verdana" w:cs="Verdana"/>
                      <w:bCs/>
                      <w:sz w:val="18"/>
                      <w:szCs w:val="18"/>
                    </w:rPr>
                  </w:pPr>
                  <w:r w:rsidRPr="0007661D">
                    <w:rPr>
                      <w:rFonts w:ascii="Verdana" w:hAnsi="Verdana" w:cs="Verdana"/>
                      <w:bCs/>
                      <w:sz w:val="18"/>
                      <w:szCs w:val="18"/>
                    </w:rPr>
                    <w:t>5,90</w:t>
                  </w:r>
                </w:p>
              </w:tc>
            </w:tr>
            <w:tr w:rsidR="004A54EA" w:rsidRPr="0007661D" w14:paraId="5614C634" w14:textId="77777777" w:rsidTr="0007661D">
              <w:trPr>
                <w:trHeight w:val="300"/>
              </w:trPr>
              <w:tc>
                <w:tcPr>
                  <w:tcW w:w="6396" w:type="dxa"/>
                  <w:tcBorders>
                    <w:top w:val="nil"/>
                    <w:left w:val="single" w:sz="4" w:space="0" w:color="auto"/>
                    <w:bottom w:val="single" w:sz="4" w:space="0" w:color="auto"/>
                    <w:right w:val="single" w:sz="4" w:space="0" w:color="auto"/>
                  </w:tcBorders>
                  <w:shd w:val="clear" w:color="auto" w:fill="auto"/>
                  <w:noWrap/>
                  <w:vAlign w:val="center"/>
                  <w:hideMark/>
                </w:tcPr>
                <w:p w14:paraId="5B2DA0EE" w14:textId="77777777" w:rsidR="004A54EA" w:rsidRPr="0007661D" w:rsidRDefault="004A54EA" w:rsidP="00260B1F">
                  <w:pPr>
                    <w:spacing w:after="0" w:line="240" w:lineRule="auto"/>
                    <w:rPr>
                      <w:rFonts w:ascii="Verdana" w:hAnsi="Verdana" w:cs="Verdana"/>
                      <w:bCs/>
                      <w:sz w:val="18"/>
                      <w:szCs w:val="18"/>
                    </w:rPr>
                  </w:pPr>
                  <w:r w:rsidRPr="0007661D">
                    <w:rPr>
                      <w:rFonts w:ascii="Verdana" w:hAnsi="Verdana" w:cs="Verdana"/>
                      <w:bCs/>
                      <w:sz w:val="18"/>
                      <w:szCs w:val="18"/>
                    </w:rPr>
                    <w:t xml:space="preserve">Certificación varietal de semillas para la exportación. </w:t>
                  </w:r>
                </w:p>
              </w:tc>
              <w:tc>
                <w:tcPr>
                  <w:tcW w:w="2206" w:type="dxa"/>
                  <w:tcBorders>
                    <w:top w:val="nil"/>
                    <w:left w:val="nil"/>
                    <w:bottom w:val="single" w:sz="4" w:space="0" w:color="auto"/>
                    <w:right w:val="single" w:sz="4" w:space="0" w:color="auto"/>
                  </w:tcBorders>
                  <w:shd w:val="clear" w:color="auto" w:fill="auto"/>
                  <w:noWrap/>
                  <w:vAlign w:val="center"/>
                  <w:hideMark/>
                </w:tcPr>
                <w:p w14:paraId="0083A9C6" w14:textId="77777777" w:rsidR="004A54EA" w:rsidRPr="0007661D" w:rsidRDefault="004A54EA" w:rsidP="00260B1F">
                  <w:pPr>
                    <w:spacing w:after="0" w:line="240" w:lineRule="auto"/>
                    <w:jc w:val="center"/>
                    <w:rPr>
                      <w:rFonts w:ascii="Verdana" w:hAnsi="Verdana" w:cs="Verdana"/>
                      <w:bCs/>
                      <w:sz w:val="18"/>
                      <w:szCs w:val="18"/>
                    </w:rPr>
                  </w:pPr>
                  <w:r w:rsidRPr="0007661D">
                    <w:rPr>
                      <w:rFonts w:ascii="Verdana" w:hAnsi="Verdana" w:cs="Verdana"/>
                      <w:bCs/>
                      <w:sz w:val="18"/>
                      <w:szCs w:val="18"/>
                    </w:rPr>
                    <w:t>5,90</w:t>
                  </w:r>
                </w:p>
              </w:tc>
            </w:tr>
            <w:tr w:rsidR="004A54EA" w:rsidRPr="0007661D" w14:paraId="509DA2DC" w14:textId="77777777" w:rsidTr="0007661D">
              <w:trPr>
                <w:trHeight w:val="300"/>
              </w:trPr>
              <w:tc>
                <w:tcPr>
                  <w:tcW w:w="6396" w:type="dxa"/>
                  <w:tcBorders>
                    <w:top w:val="nil"/>
                    <w:left w:val="single" w:sz="4" w:space="0" w:color="auto"/>
                    <w:bottom w:val="single" w:sz="4" w:space="0" w:color="auto"/>
                    <w:right w:val="single" w:sz="4" w:space="0" w:color="auto"/>
                  </w:tcBorders>
                  <w:shd w:val="clear" w:color="auto" w:fill="auto"/>
                  <w:noWrap/>
                  <w:vAlign w:val="center"/>
                  <w:hideMark/>
                </w:tcPr>
                <w:p w14:paraId="76049859" w14:textId="77777777" w:rsidR="004A54EA" w:rsidRPr="0007661D" w:rsidRDefault="004A54EA" w:rsidP="00260B1F">
                  <w:pPr>
                    <w:spacing w:after="0" w:line="240" w:lineRule="auto"/>
                    <w:rPr>
                      <w:rFonts w:ascii="Verdana" w:hAnsi="Verdana" w:cs="Verdana"/>
                      <w:bCs/>
                      <w:sz w:val="18"/>
                      <w:szCs w:val="18"/>
                    </w:rPr>
                  </w:pPr>
                  <w:r w:rsidRPr="0007661D">
                    <w:rPr>
                      <w:rFonts w:ascii="Verdana" w:hAnsi="Verdana" w:cs="Verdana"/>
                      <w:bCs/>
                      <w:sz w:val="18"/>
                      <w:szCs w:val="18"/>
                    </w:rPr>
                    <w:t xml:space="preserve">SIAC- </w:t>
                  </w:r>
                  <w:proofErr w:type="spellStart"/>
                  <w:r w:rsidRPr="0007661D">
                    <w:rPr>
                      <w:rFonts w:ascii="Verdana" w:hAnsi="Verdana" w:cs="Verdana"/>
                      <w:bCs/>
                      <w:sz w:val="18"/>
                      <w:szCs w:val="18"/>
                    </w:rPr>
                    <w:t>Call</w:t>
                  </w:r>
                  <w:proofErr w:type="spellEnd"/>
                  <w:r w:rsidRPr="0007661D">
                    <w:rPr>
                      <w:rFonts w:ascii="Verdana" w:hAnsi="Verdana" w:cs="Verdana"/>
                      <w:bCs/>
                      <w:sz w:val="18"/>
                      <w:szCs w:val="18"/>
                    </w:rPr>
                    <w:t xml:space="preserve"> Center</w:t>
                  </w:r>
                </w:p>
              </w:tc>
              <w:tc>
                <w:tcPr>
                  <w:tcW w:w="2206" w:type="dxa"/>
                  <w:tcBorders>
                    <w:top w:val="nil"/>
                    <w:left w:val="nil"/>
                    <w:bottom w:val="single" w:sz="4" w:space="0" w:color="auto"/>
                    <w:right w:val="single" w:sz="4" w:space="0" w:color="auto"/>
                  </w:tcBorders>
                  <w:shd w:val="clear" w:color="auto" w:fill="auto"/>
                  <w:noWrap/>
                  <w:vAlign w:val="center"/>
                  <w:hideMark/>
                </w:tcPr>
                <w:p w14:paraId="2955835F" w14:textId="77777777" w:rsidR="004A54EA" w:rsidRPr="0007661D" w:rsidRDefault="004A54EA" w:rsidP="00260B1F">
                  <w:pPr>
                    <w:spacing w:after="0" w:line="240" w:lineRule="auto"/>
                    <w:jc w:val="center"/>
                    <w:rPr>
                      <w:rFonts w:ascii="Verdana" w:hAnsi="Verdana" w:cs="Verdana"/>
                      <w:bCs/>
                      <w:sz w:val="18"/>
                      <w:szCs w:val="18"/>
                    </w:rPr>
                  </w:pPr>
                  <w:r w:rsidRPr="0007661D">
                    <w:rPr>
                      <w:rFonts w:ascii="Verdana" w:hAnsi="Verdana" w:cs="Verdana"/>
                      <w:bCs/>
                      <w:sz w:val="18"/>
                      <w:szCs w:val="18"/>
                    </w:rPr>
                    <w:t>5,60</w:t>
                  </w:r>
                </w:p>
              </w:tc>
            </w:tr>
            <w:tr w:rsidR="004A54EA" w:rsidRPr="0007661D" w14:paraId="642211F8" w14:textId="77777777" w:rsidTr="0007661D">
              <w:trPr>
                <w:trHeight w:val="300"/>
              </w:trPr>
              <w:tc>
                <w:tcPr>
                  <w:tcW w:w="6396" w:type="dxa"/>
                  <w:tcBorders>
                    <w:top w:val="nil"/>
                    <w:left w:val="single" w:sz="4" w:space="0" w:color="auto"/>
                    <w:bottom w:val="single" w:sz="4" w:space="0" w:color="auto"/>
                    <w:right w:val="single" w:sz="4" w:space="0" w:color="auto"/>
                  </w:tcBorders>
                  <w:shd w:val="clear" w:color="auto" w:fill="auto"/>
                  <w:noWrap/>
                  <w:vAlign w:val="center"/>
                  <w:hideMark/>
                </w:tcPr>
                <w:p w14:paraId="4A7DB979" w14:textId="77777777" w:rsidR="004A54EA" w:rsidRPr="0007661D" w:rsidRDefault="004A54EA" w:rsidP="00260B1F">
                  <w:pPr>
                    <w:spacing w:after="0" w:line="240" w:lineRule="auto"/>
                    <w:rPr>
                      <w:rFonts w:ascii="Verdana" w:hAnsi="Verdana" w:cs="Verdana"/>
                      <w:bCs/>
                      <w:sz w:val="18"/>
                      <w:szCs w:val="18"/>
                    </w:rPr>
                  </w:pPr>
                  <w:r w:rsidRPr="0007661D">
                    <w:rPr>
                      <w:rFonts w:ascii="Verdana" w:hAnsi="Verdana" w:cs="Verdana"/>
                      <w:bCs/>
                      <w:sz w:val="18"/>
                      <w:szCs w:val="18"/>
                    </w:rPr>
                    <w:t>Autorización  de plaguicidas</w:t>
                  </w:r>
                </w:p>
              </w:tc>
              <w:tc>
                <w:tcPr>
                  <w:tcW w:w="2206" w:type="dxa"/>
                  <w:tcBorders>
                    <w:top w:val="nil"/>
                    <w:left w:val="nil"/>
                    <w:bottom w:val="single" w:sz="4" w:space="0" w:color="auto"/>
                    <w:right w:val="single" w:sz="4" w:space="0" w:color="auto"/>
                  </w:tcBorders>
                  <w:shd w:val="clear" w:color="auto" w:fill="auto"/>
                  <w:noWrap/>
                  <w:vAlign w:val="center"/>
                  <w:hideMark/>
                </w:tcPr>
                <w:p w14:paraId="544131D8" w14:textId="77777777" w:rsidR="004A54EA" w:rsidRPr="0007661D" w:rsidRDefault="004A54EA" w:rsidP="00260B1F">
                  <w:pPr>
                    <w:spacing w:after="0" w:line="240" w:lineRule="auto"/>
                    <w:jc w:val="center"/>
                    <w:rPr>
                      <w:rFonts w:ascii="Verdana" w:hAnsi="Verdana" w:cs="Verdana"/>
                      <w:bCs/>
                      <w:sz w:val="18"/>
                      <w:szCs w:val="18"/>
                    </w:rPr>
                  </w:pPr>
                  <w:r w:rsidRPr="0007661D">
                    <w:rPr>
                      <w:rFonts w:ascii="Verdana" w:hAnsi="Verdana" w:cs="Verdana"/>
                      <w:bCs/>
                      <w:sz w:val="18"/>
                      <w:szCs w:val="18"/>
                    </w:rPr>
                    <w:t>S/E</w:t>
                  </w:r>
                </w:p>
              </w:tc>
            </w:tr>
          </w:tbl>
          <w:p w14:paraId="0A184385" w14:textId="77777777" w:rsidR="004A54EA" w:rsidRPr="0007661D" w:rsidRDefault="004A54EA" w:rsidP="004A54EA">
            <w:pPr>
              <w:autoSpaceDE w:val="0"/>
              <w:autoSpaceDN w:val="0"/>
              <w:adjustRightInd w:val="0"/>
              <w:jc w:val="both"/>
              <w:rPr>
                <w:rFonts w:ascii="Verdana" w:hAnsi="Verdana" w:cs="Verdana"/>
                <w:b w:val="0"/>
                <w:sz w:val="18"/>
                <w:szCs w:val="18"/>
              </w:rPr>
            </w:pPr>
          </w:p>
          <w:p w14:paraId="5FE2F26C" w14:textId="11FC868F" w:rsidR="004A54EA" w:rsidRPr="0007661D" w:rsidRDefault="004A54EA" w:rsidP="004A54EA">
            <w:pPr>
              <w:autoSpaceDE w:val="0"/>
              <w:autoSpaceDN w:val="0"/>
              <w:adjustRightInd w:val="0"/>
              <w:jc w:val="both"/>
              <w:rPr>
                <w:rFonts w:ascii="Verdana" w:hAnsi="Verdana" w:cs="Verdana"/>
                <w:b w:val="0"/>
                <w:sz w:val="18"/>
                <w:szCs w:val="18"/>
              </w:rPr>
            </w:pPr>
            <w:r w:rsidRPr="0007661D">
              <w:rPr>
                <w:rFonts w:ascii="Verdana" w:hAnsi="Verdana" w:cs="Verdana"/>
                <w:b w:val="0"/>
                <w:sz w:val="18"/>
                <w:szCs w:val="18"/>
              </w:rPr>
              <w:t xml:space="preserve">Los estudios de satisfacción, al igual que en años anteriores, son realizados por una empresa externa, a una muestra proporcional que en el 2019 fue de 3.632 casos, con una metodología de encuestas presenciales para </w:t>
            </w:r>
            <w:r w:rsidR="00CC6DD9">
              <w:rPr>
                <w:rFonts w:ascii="Verdana" w:hAnsi="Verdana" w:cs="Verdana"/>
                <w:b w:val="0"/>
                <w:sz w:val="18"/>
                <w:szCs w:val="18"/>
              </w:rPr>
              <w:t>los procesos de</w:t>
            </w:r>
            <w:r w:rsidRPr="0007661D">
              <w:rPr>
                <w:rFonts w:ascii="Verdana" w:hAnsi="Verdana" w:cs="Verdana"/>
                <w:b w:val="0"/>
                <w:sz w:val="18"/>
                <w:szCs w:val="18"/>
              </w:rPr>
              <w:t xml:space="preserve"> Inspección en los Controles Fronterizos y encuestas telefónicas para los otros </w:t>
            </w:r>
            <w:r w:rsidR="00CC6DD9">
              <w:rPr>
                <w:rFonts w:ascii="Verdana" w:hAnsi="Verdana" w:cs="Verdana"/>
                <w:b w:val="0"/>
                <w:sz w:val="18"/>
                <w:szCs w:val="18"/>
              </w:rPr>
              <w:t>procesos</w:t>
            </w:r>
            <w:r w:rsidRPr="0007661D">
              <w:rPr>
                <w:rFonts w:ascii="Verdana" w:hAnsi="Verdana" w:cs="Verdana"/>
                <w:b w:val="0"/>
                <w:sz w:val="18"/>
                <w:szCs w:val="18"/>
              </w:rPr>
              <w:t>. Los resultados tienen un nivel de confianza del 95% con un error máximo que va desde el 2,2%</w:t>
            </w:r>
            <w:r w:rsidR="00CC6DD9">
              <w:rPr>
                <w:rFonts w:ascii="Verdana" w:hAnsi="Verdana" w:cs="Verdana"/>
                <w:b w:val="0"/>
                <w:sz w:val="18"/>
                <w:szCs w:val="18"/>
              </w:rPr>
              <w:t xml:space="preserve"> </w:t>
            </w:r>
            <w:r w:rsidRPr="0007661D">
              <w:rPr>
                <w:rFonts w:ascii="Verdana" w:hAnsi="Verdana" w:cs="Verdana"/>
                <w:b w:val="0"/>
                <w:sz w:val="18"/>
                <w:szCs w:val="18"/>
              </w:rPr>
              <w:t xml:space="preserve">para </w:t>
            </w:r>
            <w:r w:rsidR="00CC6DD9">
              <w:rPr>
                <w:rFonts w:ascii="Verdana" w:hAnsi="Verdana" w:cs="Verdana"/>
                <w:b w:val="0"/>
                <w:sz w:val="18"/>
                <w:szCs w:val="18"/>
              </w:rPr>
              <w:t xml:space="preserve">los </w:t>
            </w:r>
            <w:r w:rsidRPr="0007661D">
              <w:rPr>
                <w:rFonts w:ascii="Verdana" w:hAnsi="Verdana" w:cs="Verdana"/>
                <w:b w:val="0"/>
                <w:sz w:val="18"/>
                <w:szCs w:val="18"/>
              </w:rPr>
              <w:t xml:space="preserve">procesos de negocio; 2,66% para </w:t>
            </w:r>
            <w:r w:rsidR="00CC6DD9">
              <w:rPr>
                <w:rFonts w:ascii="Verdana" w:hAnsi="Verdana" w:cs="Verdana"/>
                <w:b w:val="0"/>
                <w:sz w:val="18"/>
                <w:szCs w:val="18"/>
              </w:rPr>
              <w:t>los</w:t>
            </w:r>
            <w:r w:rsidRPr="0007661D">
              <w:rPr>
                <w:rFonts w:ascii="Verdana" w:hAnsi="Verdana" w:cs="Verdana"/>
                <w:b w:val="0"/>
                <w:sz w:val="18"/>
                <w:szCs w:val="18"/>
              </w:rPr>
              <w:t xml:space="preserve"> proceso</w:t>
            </w:r>
            <w:r w:rsidR="00CC6DD9">
              <w:rPr>
                <w:rFonts w:ascii="Verdana" w:hAnsi="Verdana" w:cs="Verdana"/>
                <w:b w:val="0"/>
                <w:sz w:val="18"/>
                <w:szCs w:val="18"/>
              </w:rPr>
              <w:t>s</w:t>
            </w:r>
            <w:r w:rsidRPr="0007661D">
              <w:rPr>
                <w:rFonts w:ascii="Verdana" w:hAnsi="Verdana" w:cs="Verdana"/>
                <w:b w:val="0"/>
                <w:sz w:val="18"/>
                <w:szCs w:val="18"/>
              </w:rPr>
              <w:t xml:space="preserve"> de Inspección del equipaje de pasajeros y </w:t>
            </w:r>
            <w:r w:rsidR="00CC6DD9">
              <w:rPr>
                <w:rFonts w:ascii="Verdana" w:hAnsi="Verdana" w:cs="Verdana"/>
                <w:b w:val="0"/>
                <w:sz w:val="18"/>
                <w:szCs w:val="18"/>
              </w:rPr>
              <w:t xml:space="preserve">de </w:t>
            </w:r>
            <w:r w:rsidRPr="0007661D">
              <w:rPr>
                <w:rFonts w:ascii="Verdana" w:hAnsi="Verdana" w:cs="Verdana"/>
                <w:b w:val="0"/>
                <w:sz w:val="18"/>
                <w:szCs w:val="18"/>
              </w:rPr>
              <w:t xml:space="preserve">medios de transportes terrestres en el </w:t>
            </w:r>
            <w:r w:rsidRPr="0007661D">
              <w:rPr>
                <w:rFonts w:ascii="Verdana" w:hAnsi="Verdana" w:cs="Verdana"/>
                <w:b w:val="0"/>
                <w:sz w:val="18"/>
                <w:szCs w:val="18"/>
              </w:rPr>
              <w:lastRenderedPageBreak/>
              <w:t>control fronterizo y 4,4% para el proceso Sistema Integra</w:t>
            </w:r>
            <w:r w:rsidR="00CC6DD9">
              <w:rPr>
                <w:rFonts w:ascii="Verdana" w:hAnsi="Verdana" w:cs="Verdana"/>
                <w:b w:val="0"/>
                <w:sz w:val="18"/>
                <w:szCs w:val="18"/>
              </w:rPr>
              <w:t xml:space="preserve">l </w:t>
            </w:r>
            <w:r w:rsidRPr="0007661D">
              <w:rPr>
                <w:rFonts w:ascii="Verdana" w:hAnsi="Verdana" w:cs="Verdana"/>
                <w:b w:val="0"/>
                <w:sz w:val="18"/>
                <w:szCs w:val="18"/>
              </w:rPr>
              <w:t xml:space="preserve">de </w:t>
            </w:r>
            <w:r w:rsidR="00CC6DD9">
              <w:rPr>
                <w:rFonts w:ascii="Verdana" w:hAnsi="Verdana" w:cs="Verdana"/>
                <w:b w:val="0"/>
                <w:sz w:val="18"/>
                <w:szCs w:val="18"/>
              </w:rPr>
              <w:t xml:space="preserve">Información y </w:t>
            </w:r>
            <w:r w:rsidRPr="0007661D">
              <w:rPr>
                <w:rFonts w:ascii="Verdana" w:hAnsi="Verdana" w:cs="Verdana"/>
                <w:b w:val="0"/>
                <w:sz w:val="18"/>
                <w:szCs w:val="18"/>
              </w:rPr>
              <w:t>Atención Ciudadana (SIAC).</w:t>
            </w:r>
          </w:p>
          <w:p w14:paraId="207B006A" w14:textId="77777777" w:rsidR="004A54EA" w:rsidRPr="0007661D" w:rsidRDefault="004A54EA" w:rsidP="004A54EA">
            <w:pPr>
              <w:autoSpaceDE w:val="0"/>
              <w:autoSpaceDN w:val="0"/>
              <w:adjustRightInd w:val="0"/>
              <w:jc w:val="both"/>
              <w:rPr>
                <w:rFonts w:ascii="Verdana" w:hAnsi="Verdana" w:cs="Verdana"/>
                <w:b w:val="0"/>
                <w:sz w:val="18"/>
                <w:szCs w:val="18"/>
              </w:rPr>
            </w:pPr>
          </w:p>
          <w:p w14:paraId="6C3725E4" w14:textId="1EA325A9" w:rsidR="004A54EA" w:rsidRPr="0007661D" w:rsidRDefault="004A54EA" w:rsidP="004A54EA">
            <w:pPr>
              <w:autoSpaceDE w:val="0"/>
              <w:autoSpaceDN w:val="0"/>
              <w:adjustRightInd w:val="0"/>
              <w:jc w:val="both"/>
              <w:rPr>
                <w:rFonts w:ascii="Verdana" w:hAnsi="Verdana" w:cs="Verdana"/>
                <w:b w:val="0"/>
                <w:sz w:val="18"/>
                <w:szCs w:val="18"/>
              </w:rPr>
            </w:pPr>
            <w:r w:rsidRPr="0007661D">
              <w:rPr>
                <w:rFonts w:ascii="Verdana" w:hAnsi="Verdana" w:cs="Verdana"/>
                <w:b w:val="0"/>
                <w:sz w:val="18"/>
                <w:szCs w:val="18"/>
              </w:rPr>
              <w:t>Los estudios miden variables que son de carácter general y también variables</w:t>
            </w:r>
            <w:r w:rsidR="0007661D">
              <w:rPr>
                <w:rFonts w:ascii="Verdana" w:hAnsi="Verdana" w:cs="Verdana"/>
                <w:b w:val="0"/>
                <w:sz w:val="18"/>
                <w:szCs w:val="18"/>
              </w:rPr>
              <w:t xml:space="preserve"> </w:t>
            </w:r>
            <w:r w:rsidRPr="0007661D">
              <w:rPr>
                <w:rFonts w:ascii="Verdana" w:hAnsi="Verdana" w:cs="Verdana"/>
                <w:b w:val="0"/>
                <w:sz w:val="18"/>
                <w:szCs w:val="18"/>
              </w:rPr>
              <w:t xml:space="preserve">específicas por cada proceso. </w:t>
            </w:r>
            <w:r w:rsidR="008323DA">
              <w:rPr>
                <w:rFonts w:ascii="Verdana" w:hAnsi="Verdana" w:cs="Verdana"/>
                <w:b w:val="0"/>
                <w:sz w:val="18"/>
                <w:szCs w:val="18"/>
              </w:rPr>
              <w:t>Las</w:t>
            </w:r>
            <w:r w:rsidR="003E47E7">
              <w:rPr>
                <w:rFonts w:ascii="Verdana" w:hAnsi="Verdana" w:cs="Verdana"/>
                <w:b w:val="0"/>
                <w:sz w:val="18"/>
                <w:szCs w:val="18"/>
              </w:rPr>
              <w:t xml:space="preserve"> variables</w:t>
            </w:r>
            <w:r w:rsidRPr="0007661D">
              <w:rPr>
                <w:rFonts w:ascii="Verdana" w:hAnsi="Verdana" w:cs="Verdana"/>
                <w:b w:val="0"/>
                <w:sz w:val="18"/>
                <w:szCs w:val="18"/>
              </w:rPr>
              <w:t xml:space="preserve"> generales son: (1) Evaluación general; (2) Facilidad</w:t>
            </w:r>
            <w:r w:rsidR="003E47E7">
              <w:rPr>
                <w:rFonts w:ascii="Verdana" w:hAnsi="Verdana" w:cs="Verdana"/>
                <w:b w:val="0"/>
                <w:sz w:val="18"/>
                <w:szCs w:val="18"/>
              </w:rPr>
              <w:t xml:space="preserve"> </w:t>
            </w:r>
            <w:r w:rsidRPr="0007661D">
              <w:rPr>
                <w:rFonts w:ascii="Verdana" w:hAnsi="Verdana" w:cs="Verdana"/>
                <w:b w:val="0"/>
                <w:sz w:val="18"/>
                <w:szCs w:val="18"/>
              </w:rPr>
              <w:t>y claridad para obtener información del proceso desde página web; (3) Utilidad de los sistemas</w:t>
            </w:r>
            <w:r w:rsidR="008323DA">
              <w:rPr>
                <w:rFonts w:ascii="Verdana" w:hAnsi="Verdana" w:cs="Verdana"/>
                <w:b w:val="0"/>
                <w:sz w:val="18"/>
                <w:szCs w:val="18"/>
              </w:rPr>
              <w:t xml:space="preserve"> </w:t>
            </w:r>
            <w:r w:rsidRPr="0007661D">
              <w:rPr>
                <w:rFonts w:ascii="Verdana" w:hAnsi="Verdana" w:cs="Verdana"/>
                <w:b w:val="0"/>
                <w:sz w:val="18"/>
                <w:szCs w:val="18"/>
              </w:rPr>
              <w:t>informáticos en línea; (4) Calidad y pertinencia de la información entregada; (5) Trato de los</w:t>
            </w:r>
            <w:r w:rsidR="0007661D">
              <w:rPr>
                <w:rFonts w:ascii="Verdana" w:hAnsi="Verdana" w:cs="Verdana"/>
                <w:b w:val="0"/>
                <w:sz w:val="18"/>
                <w:szCs w:val="18"/>
              </w:rPr>
              <w:t xml:space="preserve"> </w:t>
            </w:r>
            <w:r w:rsidRPr="0007661D">
              <w:rPr>
                <w:rFonts w:ascii="Verdana" w:hAnsi="Verdana" w:cs="Verdana"/>
                <w:b w:val="0"/>
                <w:sz w:val="18"/>
                <w:szCs w:val="18"/>
              </w:rPr>
              <w:t>funcionarios en amabilidad y respeto; (6) Presentación personal de los funcionarios SAG; (7)</w:t>
            </w:r>
            <w:r w:rsidR="0007661D">
              <w:rPr>
                <w:rFonts w:ascii="Verdana" w:hAnsi="Verdana" w:cs="Verdana"/>
                <w:b w:val="0"/>
                <w:sz w:val="18"/>
                <w:szCs w:val="18"/>
              </w:rPr>
              <w:t xml:space="preserve"> </w:t>
            </w:r>
            <w:r w:rsidRPr="0007661D">
              <w:rPr>
                <w:rFonts w:ascii="Verdana" w:hAnsi="Verdana" w:cs="Verdana"/>
                <w:b w:val="0"/>
                <w:sz w:val="18"/>
                <w:szCs w:val="18"/>
              </w:rPr>
              <w:t>Identificación de los funcionarios SAG (uniforme y credencial); (8) Tiempo que utiliza el SAG en</w:t>
            </w:r>
            <w:r w:rsidR="008323DA">
              <w:rPr>
                <w:rFonts w:ascii="Verdana" w:hAnsi="Verdana" w:cs="Verdana"/>
                <w:b w:val="0"/>
                <w:sz w:val="18"/>
                <w:szCs w:val="18"/>
              </w:rPr>
              <w:t xml:space="preserve"> </w:t>
            </w:r>
            <w:r w:rsidRPr="0007661D">
              <w:rPr>
                <w:rFonts w:ascii="Verdana" w:hAnsi="Verdana" w:cs="Verdana"/>
                <w:b w:val="0"/>
                <w:sz w:val="18"/>
                <w:szCs w:val="18"/>
              </w:rPr>
              <w:t xml:space="preserve">el proceso; (9) Conocimiento técnico. La calificación de cada variable, es asignada directamente por cada entrevistado y para obtener </w:t>
            </w:r>
            <w:r w:rsidR="003E47E7">
              <w:rPr>
                <w:rFonts w:ascii="Verdana" w:hAnsi="Verdana" w:cs="Verdana"/>
                <w:b w:val="0"/>
                <w:sz w:val="18"/>
                <w:szCs w:val="18"/>
              </w:rPr>
              <w:t>l</w:t>
            </w:r>
            <w:r w:rsidRPr="0007661D">
              <w:rPr>
                <w:rFonts w:ascii="Verdana" w:hAnsi="Verdana" w:cs="Verdana"/>
                <w:b w:val="0"/>
                <w:sz w:val="18"/>
                <w:szCs w:val="18"/>
              </w:rPr>
              <w:t>a calificación de una variable a nivel nacional, se calcula el valor promedio entre todas las respuestas para esa variable, por lo tanto, la calificación de la “Evaluación general”, es una calificación que otorgan directamente los entrevistados.</w:t>
            </w:r>
          </w:p>
          <w:p w14:paraId="1AB58DF2" w14:textId="77777777" w:rsidR="004A54EA" w:rsidRPr="0007661D" w:rsidRDefault="004A54EA" w:rsidP="004A54EA">
            <w:pPr>
              <w:autoSpaceDE w:val="0"/>
              <w:autoSpaceDN w:val="0"/>
              <w:adjustRightInd w:val="0"/>
              <w:jc w:val="both"/>
              <w:rPr>
                <w:rFonts w:ascii="Verdana" w:hAnsi="Verdana" w:cs="Verdana"/>
                <w:b w:val="0"/>
                <w:sz w:val="18"/>
                <w:szCs w:val="18"/>
              </w:rPr>
            </w:pPr>
          </w:p>
          <w:p w14:paraId="78E31394" w14:textId="7F1B2E7B" w:rsidR="00AC1BC3" w:rsidRPr="00055CE4" w:rsidRDefault="004A54EA" w:rsidP="00055CE4">
            <w:pPr>
              <w:autoSpaceDE w:val="0"/>
              <w:autoSpaceDN w:val="0"/>
              <w:adjustRightInd w:val="0"/>
              <w:jc w:val="both"/>
              <w:rPr>
                <w:rFonts w:ascii="Verdana" w:hAnsi="Verdana" w:cs="Verdana"/>
                <w:b w:val="0"/>
                <w:sz w:val="18"/>
                <w:szCs w:val="18"/>
              </w:rPr>
            </w:pPr>
            <w:r w:rsidRPr="0007661D">
              <w:rPr>
                <w:rFonts w:ascii="Verdana" w:hAnsi="Verdana" w:cs="Verdana"/>
                <w:b w:val="0"/>
                <w:sz w:val="18"/>
                <w:szCs w:val="18"/>
              </w:rPr>
              <w:t>La calificación 2019 de la variable “Evaluación general” se mantuvo alta (6,1) y levemente inferior respecto del año anterior (6,2), pero sin diferencia estadísticamente significativa. Las variables con la mejor calificación son “Amabilidad y respeto de los funcionarios” y “Presentación personal”, ambas con nota 6,6. La variable “Facilidad y claridad para obtener información del proceso desde página web”, continúa con una baja calificación (5,4), incluso inf</w:t>
            </w:r>
            <w:r w:rsidR="00055CE4">
              <w:rPr>
                <w:rFonts w:ascii="Verdana" w:hAnsi="Verdana" w:cs="Verdana"/>
                <w:b w:val="0"/>
                <w:sz w:val="18"/>
                <w:szCs w:val="18"/>
              </w:rPr>
              <w:t xml:space="preserve">erior a la del año 2018 (5,7). </w:t>
            </w:r>
            <w:bookmarkStart w:id="28" w:name="_GoBack"/>
            <w:bookmarkEnd w:id="28"/>
          </w:p>
        </w:tc>
      </w:tr>
    </w:tbl>
    <w:p w14:paraId="19ED54CA" w14:textId="77777777" w:rsidR="00892D4A" w:rsidRDefault="00892D4A" w:rsidP="00763731">
      <w:pPr>
        <w:pStyle w:val="Prrafodelista"/>
        <w:spacing w:after="0"/>
        <w:jc w:val="both"/>
        <w:rPr>
          <w:rFonts w:ascii="Verdana" w:hAnsi="Verdana"/>
          <w:sz w:val="18"/>
          <w:szCs w:val="18"/>
        </w:rPr>
      </w:pPr>
    </w:p>
    <w:tbl>
      <w:tblPr>
        <w:tblStyle w:val="Tabladecuadrcula4-nfasis11"/>
        <w:tblW w:w="5000" w:type="pct"/>
        <w:tblLook w:val="04A0" w:firstRow="1" w:lastRow="0" w:firstColumn="1" w:lastColumn="0" w:noHBand="0" w:noVBand="1"/>
      </w:tblPr>
      <w:tblGrid>
        <w:gridCol w:w="4958"/>
        <w:gridCol w:w="1418"/>
        <w:gridCol w:w="2452"/>
      </w:tblGrid>
      <w:tr w:rsidR="00667A72" w14:paraId="1B2143E9" w14:textId="77777777" w:rsidTr="004711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pct"/>
          </w:tcPr>
          <w:p w14:paraId="40DA84E0" w14:textId="77777777" w:rsidR="00667A72" w:rsidRPr="00D72D50" w:rsidRDefault="00667A72" w:rsidP="00776881">
            <w:pPr>
              <w:jc w:val="center"/>
              <w:rPr>
                <w:rFonts w:ascii="Verdana" w:hAnsi="Verdana"/>
                <w:sz w:val="18"/>
                <w:szCs w:val="18"/>
              </w:rPr>
            </w:pPr>
            <w:r w:rsidRPr="00D72D50">
              <w:rPr>
                <w:rFonts w:ascii="Verdana" w:hAnsi="Verdana"/>
                <w:sz w:val="18"/>
                <w:szCs w:val="18"/>
              </w:rPr>
              <w:t>Objetivo Estratégico</w:t>
            </w:r>
          </w:p>
        </w:tc>
        <w:tc>
          <w:tcPr>
            <w:tcW w:w="2192" w:type="pct"/>
            <w:gridSpan w:val="2"/>
          </w:tcPr>
          <w:p w14:paraId="1A2867C2" w14:textId="77777777" w:rsidR="00667A72" w:rsidRPr="00D72D50" w:rsidRDefault="00D17E22" w:rsidP="00863CAB">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sidRPr="00D72D50">
              <w:rPr>
                <w:rFonts w:ascii="Verdana" w:hAnsi="Verdana"/>
                <w:sz w:val="18"/>
                <w:szCs w:val="18"/>
              </w:rPr>
              <w:t>Objetivo Específico 201</w:t>
            </w:r>
            <w:r w:rsidR="00863CAB">
              <w:rPr>
                <w:rFonts w:ascii="Verdana" w:hAnsi="Verdana"/>
                <w:sz w:val="18"/>
                <w:szCs w:val="18"/>
              </w:rPr>
              <w:t>9</w:t>
            </w:r>
            <w:r>
              <w:rPr>
                <w:rFonts w:ascii="Verdana" w:hAnsi="Verdana"/>
                <w:sz w:val="18"/>
                <w:szCs w:val="18"/>
              </w:rPr>
              <w:t xml:space="preserve"> (Táctico)</w:t>
            </w:r>
          </w:p>
        </w:tc>
      </w:tr>
      <w:tr w:rsidR="00667A72" w14:paraId="579913AA" w14:textId="77777777" w:rsidTr="004711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pct"/>
          </w:tcPr>
          <w:p w14:paraId="66371197" w14:textId="77777777" w:rsidR="00667A72" w:rsidRPr="001019D8" w:rsidRDefault="00863CAB" w:rsidP="00776881">
            <w:pPr>
              <w:jc w:val="both"/>
              <w:rPr>
                <w:rFonts w:ascii="Verdana" w:hAnsi="Verdana"/>
                <w:sz w:val="18"/>
                <w:szCs w:val="18"/>
              </w:rPr>
            </w:pPr>
            <w:r w:rsidRPr="001019D8">
              <w:rPr>
                <w:rFonts w:ascii="Verdana" w:hAnsi="Verdana" w:cstheme="minorHAnsi"/>
                <w:sz w:val="20"/>
                <w:szCs w:val="20"/>
              </w:rPr>
              <w:t>Simplificar y agilizar la gestión de los servicios entregados para una mejor y oportuna atención a usuarios/as, a través de la  generación y actualización de normativas y procedimientos</w:t>
            </w:r>
            <w:r w:rsidR="002E67B1" w:rsidRPr="001019D8">
              <w:rPr>
                <w:rFonts w:ascii="Verdana" w:hAnsi="Verdana" w:cstheme="minorHAnsi"/>
                <w:sz w:val="20"/>
                <w:szCs w:val="20"/>
              </w:rPr>
              <w:t>.</w:t>
            </w:r>
          </w:p>
        </w:tc>
        <w:tc>
          <w:tcPr>
            <w:tcW w:w="2192" w:type="pct"/>
            <w:gridSpan w:val="2"/>
          </w:tcPr>
          <w:p w14:paraId="69AAC6CA" w14:textId="77777777" w:rsidR="00667A72" w:rsidRPr="001019D8" w:rsidRDefault="00863CAB" w:rsidP="00776881">
            <w:pPr>
              <w:jc w:val="both"/>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1019D8">
              <w:rPr>
                <w:rFonts w:ascii="Verdana" w:hAnsi="Verdana" w:cstheme="minorHAnsi"/>
                <w:sz w:val="20"/>
                <w:szCs w:val="20"/>
              </w:rPr>
              <w:t>Cumplir con los plazos de los procesos asociados al control de insumos.</w:t>
            </w:r>
          </w:p>
        </w:tc>
      </w:tr>
      <w:tr w:rsidR="00667A72" w14:paraId="0E4262F8" w14:textId="77777777" w:rsidTr="004711B9">
        <w:tc>
          <w:tcPr>
            <w:cnfStyle w:val="001000000000" w:firstRow="0" w:lastRow="0" w:firstColumn="1" w:lastColumn="0" w:oddVBand="0" w:evenVBand="0" w:oddHBand="0" w:evenHBand="0" w:firstRowFirstColumn="0" w:firstRowLastColumn="0" w:lastRowFirstColumn="0" w:lastRowLastColumn="0"/>
            <w:tcW w:w="2808" w:type="pct"/>
            <w:shd w:val="clear" w:color="auto" w:fill="5B9BD5" w:themeFill="accent1"/>
          </w:tcPr>
          <w:p w14:paraId="26944A42" w14:textId="77777777" w:rsidR="00667A72" w:rsidRPr="001019D8" w:rsidRDefault="00667A72" w:rsidP="00776881">
            <w:pPr>
              <w:jc w:val="center"/>
              <w:rPr>
                <w:rFonts w:ascii="Verdana" w:hAnsi="Verdana"/>
                <w:color w:val="FFFFFF" w:themeColor="background1"/>
                <w:sz w:val="18"/>
                <w:szCs w:val="18"/>
              </w:rPr>
            </w:pPr>
            <w:r w:rsidRPr="001019D8">
              <w:rPr>
                <w:rFonts w:ascii="Verdana" w:hAnsi="Verdana"/>
                <w:color w:val="FFFFFF" w:themeColor="background1"/>
                <w:sz w:val="18"/>
                <w:szCs w:val="18"/>
              </w:rPr>
              <w:t>Indicador</w:t>
            </w:r>
          </w:p>
        </w:tc>
        <w:tc>
          <w:tcPr>
            <w:tcW w:w="803" w:type="pct"/>
            <w:shd w:val="clear" w:color="auto" w:fill="5B9BD5" w:themeFill="accent1"/>
          </w:tcPr>
          <w:p w14:paraId="21F1963A" w14:textId="77777777" w:rsidR="00667A72" w:rsidRPr="001019D8" w:rsidRDefault="00667A72" w:rsidP="00863CAB">
            <w:pPr>
              <w:jc w:val="center"/>
              <w:cnfStyle w:val="000000000000" w:firstRow="0" w:lastRow="0" w:firstColumn="0" w:lastColumn="0" w:oddVBand="0" w:evenVBand="0" w:oddHBand="0" w:evenHBand="0" w:firstRowFirstColumn="0" w:firstRowLastColumn="0" w:lastRowFirstColumn="0" w:lastRowLastColumn="0"/>
              <w:rPr>
                <w:rFonts w:ascii="Verdana" w:hAnsi="Verdana"/>
                <w:b/>
                <w:color w:val="FFFFFF" w:themeColor="background1"/>
                <w:sz w:val="18"/>
                <w:szCs w:val="18"/>
              </w:rPr>
            </w:pPr>
            <w:r w:rsidRPr="001019D8">
              <w:rPr>
                <w:rFonts w:ascii="Verdana" w:hAnsi="Verdana"/>
                <w:b/>
                <w:color w:val="FFFFFF" w:themeColor="background1"/>
                <w:sz w:val="18"/>
                <w:szCs w:val="18"/>
              </w:rPr>
              <w:t>Meta 201</w:t>
            </w:r>
            <w:r w:rsidR="00863CAB" w:rsidRPr="001019D8">
              <w:rPr>
                <w:rFonts w:ascii="Verdana" w:hAnsi="Verdana"/>
                <w:b/>
                <w:color w:val="FFFFFF" w:themeColor="background1"/>
                <w:sz w:val="18"/>
                <w:szCs w:val="18"/>
              </w:rPr>
              <w:t>9</w:t>
            </w:r>
          </w:p>
        </w:tc>
        <w:tc>
          <w:tcPr>
            <w:tcW w:w="1390" w:type="pct"/>
            <w:shd w:val="clear" w:color="auto" w:fill="5B9BD5" w:themeFill="accent1"/>
          </w:tcPr>
          <w:p w14:paraId="4C1CF727" w14:textId="77777777" w:rsidR="00667A72" w:rsidRPr="001019D8" w:rsidRDefault="0096609A" w:rsidP="00863CAB">
            <w:pPr>
              <w:jc w:val="center"/>
              <w:cnfStyle w:val="000000000000" w:firstRow="0" w:lastRow="0" w:firstColumn="0" w:lastColumn="0" w:oddVBand="0" w:evenVBand="0" w:oddHBand="0" w:evenHBand="0" w:firstRowFirstColumn="0" w:firstRowLastColumn="0" w:lastRowFirstColumn="0" w:lastRowLastColumn="0"/>
              <w:rPr>
                <w:rFonts w:ascii="Verdana" w:hAnsi="Verdana"/>
                <w:b/>
                <w:color w:val="FFFFFF" w:themeColor="background1"/>
                <w:sz w:val="18"/>
                <w:szCs w:val="18"/>
              </w:rPr>
            </w:pPr>
            <w:r w:rsidRPr="001019D8">
              <w:rPr>
                <w:rFonts w:ascii="Verdana" w:hAnsi="Verdana"/>
                <w:b/>
                <w:color w:val="FFFFFF" w:themeColor="background1"/>
                <w:sz w:val="18"/>
                <w:szCs w:val="18"/>
              </w:rPr>
              <w:t>Resultado al 31.12.19</w:t>
            </w:r>
          </w:p>
        </w:tc>
      </w:tr>
      <w:tr w:rsidR="00667A72" w14:paraId="0CBD5266" w14:textId="77777777" w:rsidTr="004711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pct"/>
          </w:tcPr>
          <w:p w14:paraId="23DB88BB" w14:textId="77777777" w:rsidR="00667A72" w:rsidRPr="001019D8" w:rsidRDefault="00863CAB" w:rsidP="00776881">
            <w:pPr>
              <w:jc w:val="both"/>
              <w:rPr>
                <w:rFonts w:ascii="Verdana" w:hAnsi="Verdana"/>
                <w:sz w:val="18"/>
                <w:szCs w:val="18"/>
              </w:rPr>
            </w:pPr>
            <w:r w:rsidRPr="001019D8">
              <w:rPr>
                <w:rFonts w:ascii="Verdana" w:hAnsi="Verdana" w:cstheme="minorHAnsi"/>
                <w:sz w:val="20"/>
                <w:szCs w:val="20"/>
              </w:rPr>
              <w:t>Porcentaje de solicitudes de registro de pro</w:t>
            </w:r>
            <w:r w:rsidR="004D1A44" w:rsidRPr="001019D8">
              <w:rPr>
                <w:rFonts w:ascii="Verdana" w:hAnsi="Verdana" w:cstheme="minorHAnsi"/>
                <w:sz w:val="20"/>
                <w:szCs w:val="20"/>
              </w:rPr>
              <w:t>ductos farmacéuticos en proceso</w:t>
            </w:r>
            <w:r w:rsidRPr="001019D8">
              <w:rPr>
                <w:rFonts w:ascii="Verdana" w:hAnsi="Verdana" w:cstheme="minorHAnsi"/>
                <w:sz w:val="20"/>
                <w:szCs w:val="20"/>
              </w:rPr>
              <w:t xml:space="preserve"> que están dentro del plazo a la fecha</w:t>
            </w:r>
            <w:r w:rsidR="002E67B1" w:rsidRPr="001019D8">
              <w:rPr>
                <w:rFonts w:ascii="Verdana" w:hAnsi="Verdana" w:cstheme="minorHAnsi"/>
                <w:sz w:val="20"/>
                <w:szCs w:val="20"/>
              </w:rPr>
              <w:t>.</w:t>
            </w:r>
          </w:p>
        </w:tc>
        <w:tc>
          <w:tcPr>
            <w:tcW w:w="803" w:type="pct"/>
            <w:vAlign w:val="center"/>
          </w:tcPr>
          <w:p w14:paraId="38193019" w14:textId="77777777" w:rsidR="00667A72" w:rsidRPr="001019D8" w:rsidRDefault="00863CAB" w:rsidP="003D0123">
            <w:pPr>
              <w:jc w:val="cente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1019D8">
              <w:rPr>
                <w:rFonts w:ascii="Verdana" w:hAnsi="Verdana"/>
                <w:sz w:val="24"/>
                <w:szCs w:val="24"/>
              </w:rPr>
              <w:t>100</w:t>
            </w:r>
            <w:r w:rsidR="00667A72" w:rsidRPr="001019D8">
              <w:rPr>
                <w:rFonts w:ascii="Verdana" w:hAnsi="Verdana"/>
                <w:sz w:val="24"/>
                <w:szCs w:val="24"/>
              </w:rPr>
              <w:t>%</w:t>
            </w:r>
          </w:p>
        </w:tc>
        <w:tc>
          <w:tcPr>
            <w:tcW w:w="1390" w:type="pct"/>
            <w:vAlign w:val="center"/>
          </w:tcPr>
          <w:p w14:paraId="3956F178" w14:textId="77777777" w:rsidR="00BD4AAF" w:rsidRPr="001019D8" w:rsidRDefault="00F05233" w:rsidP="003D0123">
            <w:pPr>
              <w:jc w:val="cente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1019D8">
              <w:rPr>
                <w:rFonts w:ascii="Verdana" w:hAnsi="Verdana"/>
                <w:sz w:val="24"/>
                <w:szCs w:val="24"/>
              </w:rPr>
              <w:t>100</w:t>
            </w:r>
            <w:r w:rsidR="00BD4AAF" w:rsidRPr="001019D8">
              <w:rPr>
                <w:rFonts w:ascii="Verdana" w:hAnsi="Verdana"/>
                <w:sz w:val="24"/>
                <w:szCs w:val="24"/>
              </w:rPr>
              <w:t>%</w:t>
            </w:r>
          </w:p>
          <w:p w14:paraId="577A5FE2" w14:textId="77777777" w:rsidR="00667A72" w:rsidRPr="001019D8" w:rsidRDefault="00BD4AAF" w:rsidP="00260B1F">
            <w:pPr>
              <w:jc w:val="cente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1019D8">
              <w:rPr>
                <w:rFonts w:ascii="Verdana" w:hAnsi="Verdana"/>
                <w:sz w:val="24"/>
                <w:szCs w:val="24"/>
              </w:rPr>
              <w:t>(</w:t>
            </w:r>
            <w:r w:rsidR="00260B1F" w:rsidRPr="001019D8">
              <w:rPr>
                <w:rFonts w:ascii="Verdana" w:hAnsi="Verdana"/>
                <w:sz w:val="24"/>
                <w:szCs w:val="24"/>
              </w:rPr>
              <w:t>153</w:t>
            </w:r>
            <w:r w:rsidRPr="001019D8">
              <w:rPr>
                <w:rFonts w:ascii="Verdana" w:hAnsi="Verdana"/>
                <w:sz w:val="24"/>
                <w:szCs w:val="24"/>
              </w:rPr>
              <w:t>/</w:t>
            </w:r>
            <w:r w:rsidR="00260B1F" w:rsidRPr="001019D8">
              <w:rPr>
                <w:rFonts w:ascii="Verdana" w:hAnsi="Verdana"/>
                <w:sz w:val="24"/>
                <w:szCs w:val="24"/>
              </w:rPr>
              <w:t>153</w:t>
            </w:r>
            <w:r w:rsidRPr="001019D8">
              <w:rPr>
                <w:rFonts w:ascii="Verdana" w:hAnsi="Verdana"/>
                <w:sz w:val="24"/>
                <w:szCs w:val="24"/>
              </w:rPr>
              <w:t>)</w:t>
            </w:r>
          </w:p>
        </w:tc>
      </w:tr>
      <w:tr w:rsidR="00667A72" w14:paraId="112624B7" w14:textId="77777777" w:rsidTr="00F81B50">
        <w:trPr>
          <w:trHeight w:val="708"/>
        </w:trPr>
        <w:tc>
          <w:tcPr>
            <w:cnfStyle w:val="001000000000" w:firstRow="0" w:lastRow="0" w:firstColumn="1" w:lastColumn="0" w:oddVBand="0" w:evenVBand="0" w:oddHBand="0" w:evenHBand="0" w:firstRowFirstColumn="0" w:firstRowLastColumn="0" w:lastRowFirstColumn="0" w:lastRowLastColumn="0"/>
            <w:tcW w:w="5000" w:type="pct"/>
            <w:gridSpan w:val="3"/>
          </w:tcPr>
          <w:p w14:paraId="560EB8BE" w14:textId="77777777" w:rsidR="00667A72" w:rsidRDefault="0096609A" w:rsidP="00776881">
            <w:pPr>
              <w:spacing w:before="120"/>
              <w:jc w:val="both"/>
              <w:rPr>
                <w:rFonts w:ascii="Verdana" w:hAnsi="Verdana"/>
                <w:sz w:val="18"/>
                <w:szCs w:val="18"/>
              </w:rPr>
            </w:pPr>
            <w:r>
              <w:rPr>
                <w:rFonts w:ascii="Verdana" w:hAnsi="Verdana"/>
                <w:sz w:val="18"/>
                <w:szCs w:val="18"/>
              </w:rPr>
              <w:t>Descripción del Resultado:</w:t>
            </w:r>
          </w:p>
          <w:p w14:paraId="0DD238E1" w14:textId="77777777" w:rsidR="00260B1F" w:rsidRPr="00260B1F" w:rsidRDefault="00260B1F" w:rsidP="00260B1F">
            <w:pPr>
              <w:jc w:val="both"/>
              <w:rPr>
                <w:rFonts w:ascii="Verdana" w:hAnsi="Verdana"/>
                <w:b w:val="0"/>
                <w:sz w:val="18"/>
                <w:szCs w:val="18"/>
              </w:rPr>
            </w:pPr>
            <w:r w:rsidRPr="00260B1F">
              <w:rPr>
                <w:rFonts w:ascii="Verdana" w:hAnsi="Verdana"/>
                <w:b w:val="0"/>
                <w:sz w:val="18"/>
                <w:szCs w:val="18"/>
              </w:rPr>
              <w:t xml:space="preserve">En 2019, este indicador presenta un 100% (153/153) de cumplimiento respecto a la meta comprometida (100%) de solicitudes de registros de productos farmacéuticos que se encuentran dentro del plazo establecido por reglamento para estas revisiones (9 meses). </w:t>
            </w:r>
          </w:p>
          <w:p w14:paraId="54DCB9C6" w14:textId="77777777" w:rsidR="00260B1F" w:rsidRPr="00260B1F" w:rsidRDefault="00260B1F" w:rsidP="00260B1F">
            <w:pPr>
              <w:jc w:val="both"/>
              <w:rPr>
                <w:rFonts w:ascii="Verdana" w:hAnsi="Verdana"/>
                <w:b w:val="0"/>
                <w:sz w:val="18"/>
                <w:szCs w:val="18"/>
              </w:rPr>
            </w:pPr>
          </w:p>
          <w:p w14:paraId="32CFB6F3" w14:textId="77777777" w:rsidR="00260B1F" w:rsidRPr="00260B1F" w:rsidRDefault="00260B1F" w:rsidP="00260B1F">
            <w:pPr>
              <w:jc w:val="both"/>
              <w:rPr>
                <w:rFonts w:ascii="Verdana" w:hAnsi="Verdana"/>
                <w:b w:val="0"/>
                <w:sz w:val="18"/>
                <w:szCs w:val="18"/>
              </w:rPr>
            </w:pPr>
            <w:r w:rsidRPr="00260B1F">
              <w:rPr>
                <w:rFonts w:ascii="Verdana" w:hAnsi="Verdana"/>
                <w:b w:val="0"/>
                <w:sz w:val="18"/>
                <w:szCs w:val="18"/>
              </w:rPr>
              <w:t>En periodo enero-junio 2019 se obtuvo un total de 100% (60/60) y para el periodo julio- diciembre 2019 un 100% (93/93). Con este resultado se genera cumplimiento respecto de la meta 2019 y su buen</w:t>
            </w:r>
            <w:r>
              <w:rPr>
                <w:rFonts w:ascii="Verdana" w:hAnsi="Verdana"/>
                <w:b w:val="0"/>
                <w:sz w:val="18"/>
                <w:szCs w:val="18"/>
              </w:rPr>
              <w:t xml:space="preserve"> desempeño</w:t>
            </w:r>
            <w:r w:rsidRPr="00260B1F">
              <w:rPr>
                <w:rFonts w:ascii="Verdana" w:hAnsi="Verdana"/>
                <w:b w:val="0"/>
                <w:sz w:val="18"/>
                <w:szCs w:val="18"/>
              </w:rPr>
              <w:t xml:space="preserve"> permite dar cumplimiento a los plazos normativos (9 meses) definidos en el Reglamento de productos farmacéuticos de uso exclusivamente veterinario (Decreto N° 25/200) para el registro de productos farmacéuticos, lo que se produce básicamente por el compromiso y profesionalismo de las personas que trabajan en la revisión y análisis de la información relacionada a este registro, gestión apoyada por la operación del Sistema informático para gestión y registro de Medicamentos de uso Veterinario implementado a inicios del año 2017.</w:t>
            </w:r>
          </w:p>
          <w:p w14:paraId="65AA4FD5" w14:textId="77777777" w:rsidR="00260B1F" w:rsidRPr="00260B1F" w:rsidRDefault="00260B1F" w:rsidP="00260B1F">
            <w:pPr>
              <w:jc w:val="both"/>
              <w:rPr>
                <w:rFonts w:ascii="Verdana" w:hAnsi="Verdana"/>
                <w:b w:val="0"/>
                <w:sz w:val="18"/>
                <w:szCs w:val="18"/>
              </w:rPr>
            </w:pPr>
          </w:p>
          <w:p w14:paraId="51C58A20" w14:textId="71094FD8" w:rsidR="00AC1BC3" w:rsidRPr="00260B1F" w:rsidRDefault="00260B1F" w:rsidP="00260B1F">
            <w:pPr>
              <w:jc w:val="both"/>
              <w:rPr>
                <w:rFonts w:ascii="Verdana" w:hAnsi="Verdana"/>
                <w:b w:val="0"/>
                <w:sz w:val="18"/>
                <w:szCs w:val="18"/>
              </w:rPr>
            </w:pPr>
            <w:r w:rsidRPr="00260B1F">
              <w:rPr>
                <w:rFonts w:ascii="Verdana" w:hAnsi="Verdana"/>
                <w:b w:val="0"/>
                <w:sz w:val="18"/>
                <w:szCs w:val="18"/>
              </w:rPr>
              <w:t>Respecto a</w:t>
            </w:r>
            <w:r w:rsidR="00F06F39">
              <w:rPr>
                <w:rFonts w:ascii="Verdana" w:hAnsi="Verdana"/>
                <w:b w:val="0"/>
                <w:sz w:val="18"/>
                <w:szCs w:val="18"/>
              </w:rPr>
              <w:t xml:space="preserve">l año 2018, </w:t>
            </w:r>
            <w:r w:rsidRPr="00260B1F">
              <w:rPr>
                <w:rFonts w:ascii="Verdana" w:hAnsi="Verdana"/>
                <w:b w:val="0"/>
                <w:sz w:val="18"/>
                <w:szCs w:val="18"/>
              </w:rPr>
              <w:t xml:space="preserve">el cual se </w:t>
            </w:r>
            <w:r>
              <w:rPr>
                <w:rFonts w:ascii="Verdana" w:hAnsi="Verdana"/>
                <w:b w:val="0"/>
                <w:sz w:val="18"/>
                <w:szCs w:val="18"/>
              </w:rPr>
              <w:t>sobre</w:t>
            </w:r>
            <w:r w:rsidR="00B724CD">
              <w:rPr>
                <w:rFonts w:ascii="Verdana" w:hAnsi="Verdana"/>
                <w:b w:val="0"/>
                <w:sz w:val="18"/>
                <w:szCs w:val="18"/>
              </w:rPr>
              <w:t xml:space="preserve"> </w:t>
            </w:r>
            <w:r w:rsidRPr="00260B1F">
              <w:rPr>
                <w:rFonts w:ascii="Verdana" w:hAnsi="Verdana"/>
                <w:b w:val="0"/>
                <w:sz w:val="18"/>
                <w:szCs w:val="18"/>
              </w:rPr>
              <w:t xml:space="preserve">cumplió la meta (80%), con valores efectivos de 81/81 (100%) este resultado se iguala al obtenido </w:t>
            </w:r>
            <w:r w:rsidR="003E47E7">
              <w:rPr>
                <w:rFonts w:ascii="Verdana" w:hAnsi="Verdana"/>
                <w:b w:val="0"/>
                <w:sz w:val="18"/>
                <w:szCs w:val="18"/>
              </w:rPr>
              <w:t>respecto a la</w:t>
            </w:r>
            <w:r w:rsidR="003E47E7" w:rsidRPr="00260B1F">
              <w:rPr>
                <w:rFonts w:ascii="Verdana" w:hAnsi="Verdana"/>
                <w:b w:val="0"/>
                <w:sz w:val="18"/>
                <w:szCs w:val="18"/>
              </w:rPr>
              <w:t xml:space="preserve"> </w:t>
            </w:r>
            <w:r w:rsidRPr="00260B1F">
              <w:rPr>
                <w:rFonts w:ascii="Verdana" w:hAnsi="Verdana"/>
                <w:b w:val="0"/>
                <w:sz w:val="18"/>
                <w:szCs w:val="18"/>
              </w:rPr>
              <w:t>meta 2019 100%</w:t>
            </w:r>
            <w:r w:rsidR="006265F8">
              <w:rPr>
                <w:rFonts w:ascii="Verdana" w:hAnsi="Verdana"/>
                <w:b w:val="0"/>
                <w:sz w:val="18"/>
                <w:szCs w:val="18"/>
              </w:rPr>
              <w:t xml:space="preserve"> </w:t>
            </w:r>
            <w:r w:rsidRPr="00260B1F">
              <w:rPr>
                <w:rFonts w:ascii="Verdana" w:hAnsi="Verdana"/>
                <w:b w:val="0"/>
                <w:sz w:val="18"/>
                <w:szCs w:val="18"/>
              </w:rPr>
              <w:t>(153/153). La diferencia de 72 solicitudes de registro producida entre el año 2018 (81) y el 2019 (153) se produce básicamente por el nuevo sistema informático el cu</w:t>
            </w:r>
            <w:r w:rsidR="003E47E7">
              <w:rPr>
                <w:rFonts w:ascii="Verdana" w:hAnsi="Verdana"/>
                <w:b w:val="0"/>
                <w:sz w:val="18"/>
                <w:szCs w:val="18"/>
              </w:rPr>
              <w:t>a</w:t>
            </w:r>
            <w:r w:rsidRPr="00260B1F">
              <w:rPr>
                <w:rFonts w:ascii="Verdana" w:hAnsi="Verdana"/>
                <w:b w:val="0"/>
                <w:sz w:val="18"/>
                <w:szCs w:val="18"/>
              </w:rPr>
              <w:t xml:space="preserve">l facilitó el trámite para el usuario y </w:t>
            </w:r>
            <w:r w:rsidR="003E47E7" w:rsidRPr="00260B1F">
              <w:rPr>
                <w:rFonts w:ascii="Verdana" w:hAnsi="Verdana"/>
                <w:b w:val="0"/>
                <w:sz w:val="18"/>
                <w:szCs w:val="18"/>
              </w:rPr>
              <w:t xml:space="preserve">se </w:t>
            </w:r>
            <w:r w:rsidR="00B724CD" w:rsidRPr="00260B1F">
              <w:rPr>
                <w:rFonts w:ascii="Verdana" w:hAnsi="Verdana"/>
                <w:b w:val="0"/>
                <w:sz w:val="18"/>
                <w:szCs w:val="18"/>
              </w:rPr>
              <w:t>vi</w:t>
            </w:r>
            <w:r w:rsidR="00B724CD">
              <w:rPr>
                <w:rFonts w:ascii="Verdana" w:hAnsi="Verdana"/>
                <w:b w:val="0"/>
                <w:sz w:val="18"/>
                <w:szCs w:val="18"/>
              </w:rPr>
              <w:t>o</w:t>
            </w:r>
            <w:r w:rsidR="003E47E7">
              <w:rPr>
                <w:rFonts w:ascii="Verdana" w:hAnsi="Verdana"/>
                <w:b w:val="0"/>
                <w:sz w:val="18"/>
                <w:szCs w:val="18"/>
              </w:rPr>
              <w:t xml:space="preserve"> optimizado el</w:t>
            </w:r>
            <w:r w:rsidRPr="00260B1F">
              <w:rPr>
                <w:rFonts w:ascii="Verdana" w:hAnsi="Verdana"/>
                <w:b w:val="0"/>
                <w:sz w:val="18"/>
                <w:szCs w:val="18"/>
              </w:rPr>
              <w:t xml:space="preserve"> tiempo que el proceso conlleva.</w:t>
            </w:r>
          </w:p>
          <w:p w14:paraId="2250CF1C" w14:textId="77777777" w:rsidR="00260B1F" w:rsidRPr="00D72D50" w:rsidRDefault="00260B1F" w:rsidP="00260B1F">
            <w:pPr>
              <w:jc w:val="both"/>
              <w:rPr>
                <w:rFonts w:ascii="Verdana" w:hAnsi="Verdana"/>
                <w:sz w:val="18"/>
                <w:szCs w:val="18"/>
              </w:rPr>
            </w:pPr>
          </w:p>
        </w:tc>
      </w:tr>
    </w:tbl>
    <w:p w14:paraId="7F5B3527" w14:textId="77777777" w:rsidR="00697686" w:rsidRDefault="00697686" w:rsidP="00C0357D">
      <w:pPr>
        <w:pStyle w:val="Prrafodelista"/>
        <w:jc w:val="both"/>
        <w:rPr>
          <w:rFonts w:ascii="Verdana" w:hAnsi="Verdana"/>
          <w:sz w:val="18"/>
          <w:szCs w:val="18"/>
        </w:rPr>
      </w:pPr>
    </w:p>
    <w:p w14:paraId="69130D9B" w14:textId="77777777" w:rsidR="0059613C" w:rsidRDefault="0059613C" w:rsidP="00C0357D">
      <w:pPr>
        <w:pStyle w:val="Prrafodelista"/>
        <w:jc w:val="both"/>
        <w:rPr>
          <w:rFonts w:ascii="Verdana" w:hAnsi="Verdana"/>
          <w:sz w:val="18"/>
          <w:szCs w:val="18"/>
        </w:rPr>
      </w:pPr>
    </w:p>
    <w:tbl>
      <w:tblPr>
        <w:tblStyle w:val="Tabladecuadrcula4-nfasis11"/>
        <w:tblW w:w="5000" w:type="pct"/>
        <w:tblLook w:val="04A0" w:firstRow="1" w:lastRow="0" w:firstColumn="1" w:lastColumn="0" w:noHBand="0" w:noVBand="1"/>
      </w:tblPr>
      <w:tblGrid>
        <w:gridCol w:w="4958"/>
        <w:gridCol w:w="1418"/>
        <w:gridCol w:w="2452"/>
      </w:tblGrid>
      <w:tr w:rsidR="00667A72" w14:paraId="036B9668" w14:textId="77777777" w:rsidTr="004711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pct"/>
          </w:tcPr>
          <w:p w14:paraId="1AFDD7A4" w14:textId="77777777" w:rsidR="00667A72" w:rsidRPr="00214537" w:rsidRDefault="00667A72" w:rsidP="00776881">
            <w:pPr>
              <w:jc w:val="center"/>
              <w:rPr>
                <w:rFonts w:ascii="Verdana" w:hAnsi="Verdana"/>
                <w:sz w:val="18"/>
                <w:szCs w:val="18"/>
              </w:rPr>
            </w:pPr>
            <w:r w:rsidRPr="00214537">
              <w:rPr>
                <w:rFonts w:ascii="Verdana" w:hAnsi="Verdana"/>
                <w:sz w:val="18"/>
                <w:szCs w:val="18"/>
              </w:rPr>
              <w:lastRenderedPageBreak/>
              <w:t>Objetivo Estratégico</w:t>
            </w:r>
          </w:p>
        </w:tc>
        <w:tc>
          <w:tcPr>
            <w:tcW w:w="2192" w:type="pct"/>
            <w:gridSpan w:val="2"/>
          </w:tcPr>
          <w:p w14:paraId="17466A60" w14:textId="77777777" w:rsidR="00667A72" w:rsidRPr="00214537" w:rsidRDefault="00D17E22" w:rsidP="002E67B1">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sidRPr="00214537">
              <w:rPr>
                <w:rFonts w:ascii="Verdana" w:hAnsi="Verdana"/>
                <w:sz w:val="18"/>
                <w:szCs w:val="18"/>
              </w:rPr>
              <w:t>Objetivo Específico 201</w:t>
            </w:r>
            <w:r w:rsidR="002E67B1">
              <w:rPr>
                <w:rFonts w:ascii="Verdana" w:hAnsi="Verdana"/>
                <w:sz w:val="18"/>
                <w:szCs w:val="18"/>
              </w:rPr>
              <w:t>9</w:t>
            </w:r>
            <w:r w:rsidRPr="00214537">
              <w:rPr>
                <w:rFonts w:ascii="Verdana" w:hAnsi="Verdana"/>
                <w:sz w:val="18"/>
                <w:szCs w:val="18"/>
              </w:rPr>
              <w:t xml:space="preserve"> (Táctico)</w:t>
            </w:r>
          </w:p>
        </w:tc>
      </w:tr>
      <w:tr w:rsidR="00667A72" w14:paraId="6ABB6015" w14:textId="77777777" w:rsidTr="004711B9">
        <w:trPr>
          <w:cnfStyle w:val="000000100000" w:firstRow="0" w:lastRow="0" w:firstColumn="0" w:lastColumn="0" w:oddVBand="0" w:evenVBand="0" w:oddHBand="1" w:evenHBand="0" w:firstRowFirstColumn="0" w:firstRowLastColumn="0" w:lastRowFirstColumn="0" w:lastRowLastColumn="0"/>
          <w:trHeight w:val="1382"/>
        </w:trPr>
        <w:tc>
          <w:tcPr>
            <w:cnfStyle w:val="001000000000" w:firstRow="0" w:lastRow="0" w:firstColumn="1" w:lastColumn="0" w:oddVBand="0" w:evenVBand="0" w:oddHBand="0" w:evenHBand="0" w:firstRowFirstColumn="0" w:firstRowLastColumn="0" w:lastRowFirstColumn="0" w:lastRowLastColumn="0"/>
            <w:tcW w:w="2808" w:type="pct"/>
          </w:tcPr>
          <w:p w14:paraId="5175C9BB" w14:textId="77777777" w:rsidR="00667A72" w:rsidRPr="001019D8" w:rsidRDefault="00863CAB" w:rsidP="00214537">
            <w:pPr>
              <w:jc w:val="both"/>
              <w:rPr>
                <w:rFonts w:ascii="Verdana" w:hAnsi="Verdana" w:cstheme="minorHAnsi"/>
                <w:sz w:val="20"/>
                <w:szCs w:val="20"/>
              </w:rPr>
            </w:pPr>
            <w:r w:rsidRPr="001019D8">
              <w:rPr>
                <w:rFonts w:ascii="Verdana" w:hAnsi="Verdana" w:cstheme="minorHAnsi"/>
                <w:sz w:val="20"/>
                <w:szCs w:val="20"/>
              </w:rPr>
              <w:t>Simplificar y agilizar la gestión de los servicios entregados para una mejor y oportuna atención a usuarios/as, a través de la  generación y actualización de normativas y procedimientos.</w:t>
            </w:r>
          </w:p>
        </w:tc>
        <w:tc>
          <w:tcPr>
            <w:tcW w:w="2192" w:type="pct"/>
            <w:gridSpan w:val="2"/>
          </w:tcPr>
          <w:p w14:paraId="2EC8DC62" w14:textId="77777777" w:rsidR="00667A72" w:rsidRPr="00A533A5" w:rsidRDefault="00863CAB" w:rsidP="00214537">
            <w:pPr>
              <w:jc w:val="both"/>
              <w:cnfStyle w:val="000000100000" w:firstRow="0" w:lastRow="0" w:firstColumn="0" w:lastColumn="0" w:oddVBand="0" w:evenVBand="0" w:oddHBand="1" w:evenHBand="0" w:firstRowFirstColumn="0" w:firstRowLastColumn="0" w:lastRowFirstColumn="0" w:lastRowLastColumn="0"/>
              <w:rPr>
                <w:rFonts w:ascii="Verdana" w:hAnsi="Verdana" w:cstheme="minorHAnsi"/>
                <w:bCs/>
                <w:sz w:val="20"/>
                <w:szCs w:val="20"/>
              </w:rPr>
            </w:pPr>
            <w:r w:rsidRPr="00A533A5">
              <w:rPr>
                <w:rFonts w:ascii="Verdana" w:hAnsi="Verdana" w:cstheme="minorHAnsi"/>
                <w:bCs/>
                <w:sz w:val="20"/>
                <w:szCs w:val="20"/>
              </w:rPr>
              <w:t>Cumplir con los plazos de los procesos asociados al control de insumos.</w:t>
            </w:r>
          </w:p>
        </w:tc>
      </w:tr>
      <w:tr w:rsidR="00667A72" w14:paraId="4D2FE2CA" w14:textId="77777777" w:rsidTr="004711B9">
        <w:tc>
          <w:tcPr>
            <w:cnfStyle w:val="001000000000" w:firstRow="0" w:lastRow="0" w:firstColumn="1" w:lastColumn="0" w:oddVBand="0" w:evenVBand="0" w:oddHBand="0" w:evenHBand="0" w:firstRowFirstColumn="0" w:firstRowLastColumn="0" w:lastRowFirstColumn="0" w:lastRowLastColumn="0"/>
            <w:tcW w:w="2808" w:type="pct"/>
            <w:shd w:val="clear" w:color="auto" w:fill="5B9BD5" w:themeFill="accent1"/>
          </w:tcPr>
          <w:p w14:paraId="31620695" w14:textId="77777777" w:rsidR="00667A72" w:rsidRPr="001019D8" w:rsidRDefault="00667A72" w:rsidP="00776881">
            <w:pPr>
              <w:jc w:val="center"/>
              <w:rPr>
                <w:rFonts w:ascii="Verdana" w:hAnsi="Verdana"/>
                <w:color w:val="FFFFFF" w:themeColor="background1"/>
                <w:sz w:val="18"/>
                <w:szCs w:val="18"/>
              </w:rPr>
            </w:pPr>
            <w:r w:rsidRPr="001019D8">
              <w:rPr>
                <w:rFonts w:ascii="Verdana" w:hAnsi="Verdana"/>
                <w:color w:val="FFFFFF" w:themeColor="background1"/>
                <w:sz w:val="18"/>
                <w:szCs w:val="18"/>
              </w:rPr>
              <w:t>Indicador</w:t>
            </w:r>
          </w:p>
        </w:tc>
        <w:tc>
          <w:tcPr>
            <w:tcW w:w="803" w:type="pct"/>
            <w:shd w:val="clear" w:color="auto" w:fill="5B9BD5" w:themeFill="accent1"/>
          </w:tcPr>
          <w:p w14:paraId="18A34CC3" w14:textId="77777777" w:rsidR="00667A72" w:rsidRPr="001019D8" w:rsidRDefault="00667A72" w:rsidP="00863CAB">
            <w:pPr>
              <w:jc w:val="center"/>
              <w:cnfStyle w:val="000000000000" w:firstRow="0" w:lastRow="0" w:firstColumn="0" w:lastColumn="0" w:oddVBand="0" w:evenVBand="0" w:oddHBand="0" w:evenHBand="0" w:firstRowFirstColumn="0" w:firstRowLastColumn="0" w:lastRowFirstColumn="0" w:lastRowLastColumn="0"/>
              <w:rPr>
                <w:rFonts w:ascii="Verdana" w:hAnsi="Verdana"/>
                <w:b/>
                <w:color w:val="FFFFFF" w:themeColor="background1"/>
                <w:sz w:val="18"/>
                <w:szCs w:val="18"/>
              </w:rPr>
            </w:pPr>
            <w:r w:rsidRPr="001019D8">
              <w:rPr>
                <w:rFonts w:ascii="Verdana" w:hAnsi="Verdana"/>
                <w:b/>
                <w:color w:val="FFFFFF" w:themeColor="background1"/>
                <w:sz w:val="18"/>
                <w:szCs w:val="18"/>
              </w:rPr>
              <w:t>Meta 201</w:t>
            </w:r>
            <w:r w:rsidR="00863CAB" w:rsidRPr="001019D8">
              <w:rPr>
                <w:rFonts w:ascii="Verdana" w:hAnsi="Verdana"/>
                <w:b/>
                <w:color w:val="FFFFFF" w:themeColor="background1"/>
                <w:sz w:val="18"/>
                <w:szCs w:val="18"/>
              </w:rPr>
              <w:t>9</w:t>
            </w:r>
          </w:p>
        </w:tc>
        <w:tc>
          <w:tcPr>
            <w:tcW w:w="1390" w:type="pct"/>
            <w:shd w:val="clear" w:color="auto" w:fill="5B9BD5" w:themeFill="accent1"/>
          </w:tcPr>
          <w:p w14:paraId="4BC48505" w14:textId="77777777" w:rsidR="00667A72" w:rsidRPr="001019D8" w:rsidRDefault="0096609A" w:rsidP="00863CAB">
            <w:pPr>
              <w:jc w:val="center"/>
              <w:cnfStyle w:val="000000000000" w:firstRow="0" w:lastRow="0" w:firstColumn="0" w:lastColumn="0" w:oddVBand="0" w:evenVBand="0" w:oddHBand="0" w:evenHBand="0" w:firstRowFirstColumn="0" w:firstRowLastColumn="0" w:lastRowFirstColumn="0" w:lastRowLastColumn="0"/>
              <w:rPr>
                <w:rFonts w:ascii="Verdana" w:hAnsi="Verdana"/>
                <w:b/>
                <w:color w:val="FFFFFF" w:themeColor="background1"/>
                <w:sz w:val="18"/>
                <w:szCs w:val="18"/>
              </w:rPr>
            </w:pPr>
            <w:r w:rsidRPr="001019D8">
              <w:rPr>
                <w:rFonts w:ascii="Verdana" w:hAnsi="Verdana"/>
                <w:b/>
                <w:color w:val="FFFFFF" w:themeColor="background1"/>
                <w:sz w:val="18"/>
                <w:szCs w:val="18"/>
              </w:rPr>
              <w:t>Resultado al 31.12.19</w:t>
            </w:r>
          </w:p>
        </w:tc>
      </w:tr>
      <w:tr w:rsidR="00667A72" w14:paraId="774D013A" w14:textId="77777777" w:rsidTr="004711B9">
        <w:trPr>
          <w:cnfStyle w:val="000000100000" w:firstRow="0" w:lastRow="0" w:firstColumn="0" w:lastColumn="0" w:oddVBand="0" w:evenVBand="0" w:oddHBand="1" w:evenHBand="0" w:firstRowFirstColumn="0" w:firstRowLastColumn="0" w:lastRowFirstColumn="0" w:lastRowLastColumn="0"/>
          <w:trHeight w:val="920"/>
        </w:trPr>
        <w:tc>
          <w:tcPr>
            <w:cnfStyle w:val="001000000000" w:firstRow="0" w:lastRow="0" w:firstColumn="1" w:lastColumn="0" w:oddVBand="0" w:evenVBand="0" w:oddHBand="0" w:evenHBand="0" w:firstRowFirstColumn="0" w:firstRowLastColumn="0" w:lastRowFirstColumn="0" w:lastRowLastColumn="0"/>
            <w:tcW w:w="2808" w:type="pct"/>
          </w:tcPr>
          <w:p w14:paraId="411C2E48" w14:textId="77777777" w:rsidR="00667A72" w:rsidRPr="001019D8" w:rsidRDefault="00863CAB" w:rsidP="00776881">
            <w:pPr>
              <w:jc w:val="both"/>
              <w:rPr>
                <w:rFonts w:ascii="Verdana" w:hAnsi="Verdana"/>
                <w:sz w:val="18"/>
                <w:szCs w:val="18"/>
              </w:rPr>
            </w:pPr>
            <w:r w:rsidRPr="001019D8">
              <w:rPr>
                <w:rFonts w:ascii="Verdana" w:hAnsi="Verdana" w:cstheme="minorHAnsi"/>
                <w:sz w:val="20"/>
                <w:szCs w:val="20"/>
              </w:rPr>
              <w:t>Porcentaje de solicitudes de autorización, renovación o modificación de plaguicidas en proceso que están dentro del plazo.</w:t>
            </w:r>
          </w:p>
        </w:tc>
        <w:tc>
          <w:tcPr>
            <w:tcW w:w="803" w:type="pct"/>
            <w:vAlign w:val="center"/>
          </w:tcPr>
          <w:p w14:paraId="71286442" w14:textId="77777777" w:rsidR="00667A72" w:rsidRPr="001019D8" w:rsidRDefault="00667A72" w:rsidP="003D0123">
            <w:pPr>
              <w:jc w:val="cente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1019D8">
              <w:rPr>
                <w:rFonts w:ascii="Verdana" w:hAnsi="Verdana"/>
                <w:sz w:val="24"/>
                <w:szCs w:val="24"/>
              </w:rPr>
              <w:t>50%</w:t>
            </w:r>
          </w:p>
        </w:tc>
        <w:tc>
          <w:tcPr>
            <w:tcW w:w="1390" w:type="pct"/>
            <w:vAlign w:val="center"/>
          </w:tcPr>
          <w:p w14:paraId="359B2B98" w14:textId="77777777" w:rsidR="005416E3" w:rsidRPr="001019D8" w:rsidRDefault="005416E3" w:rsidP="005416E3">
            <w:pPr>
              <w:jc w:val="cente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1019D8">
              <w:rPr>
                <w:rFonts w:ascii="Verdana" w:hAnsi="Verdana"/>
                <w:sz w:val="24"/>
                <w:szCs w:val="24"/>
              </w:rPr>
              <w:t xml:space="preserve">52,7% </w:t>
            </w:r>
          </w:p>
          <w:p w14:paraId="1CE42430" w14:textId="77777777" w:rsidR="00667A72" w:rsidRPr="001019D8" w:rsidRDefault="005416E3" w:rsidP="005416E3">
            <w:pPr>
              <w:jc w:val="cente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1019D8">
              <w:rPr>
                <w:rFonts w:ascii="Verdana" w:hAnsi="Verdana"/>
                <w:sz w:val="24"/>
                <w:szCs w:val="24"/>
              </w:rPr>
              <w:t>(395/749)</w:t>
            </w:r>
          </w:p>
        </w:tc>
      </w:tr>
      <w:tr w:rsidR="00667A72" w14:paraId="522F234D" w14:textId="77777777" w:rsidTr="00393E62">
        <w:trPr>
          <w:trHeight w:val="2324"/>
        </w:trPr>
        <w:tc>
          <w:tcPr>
            <w:cnfStyle w:val="001000000000" w:firstRow="0" w:lastRow="0" w:firstColumn="1" w:lastColumn="0" w:oddVBand="0" w:evenVBand="0" w:oddHBand="0" w:evenHBand="0" w:firstRowFirstColumn="0" w:firstRowLastColumn="0" w:lastRowFirstColumn="0" w:lastRowLastColumn="0"/>
            <w:tcW w:w="5000" w:type="pct"/>
            <w:gridSpan w:val="3"/>
          </w:tcPr>
          <w:p w14:paraId="60350C53" w14:textId="77777777" w:rsidR="00667A72" w:rsidRDefault="0096609A" w:rsidP="00776881">
            <w:pPr>
              <w:spacing w:before="120"/>
              <w:jc w:val="both"/>
              <w:rPr>
                <w:rFonts w:ascii="Verdana" w:hAnsi="Verdana"/>
                <w:sz w:val="18"/>
                <w:szCs w:val="18"/>
              </w:rPr>
            </w:pPr>
            <w:r>
              <w:rPr>
                <w:rFonts w:ascii="Verdana" w:hAnsi="Verdana"/>
                <w:sz w:val="18"/>
                <w:szCs w:val="18"/>
              </w:rPr>
              <w:t>Descripción del Resultado:</w:t>
            </w:r>
          </w:p>
          <w:p w14:paraId="6E26A889" w14:textId="77777777" w:rsidR="00F67F4D" w:rsidRPr="00F67F4D" w:rsidRDefault="00F67F4D" w:rsidP="00F67F4D">
            <w:pPr>
              <w:jc w:val="both"/>
              <w:rPr>
                <w:rFonts w:ascii="Verdana" w:hAnsi="Verdana"/>
                <w:b w:val="0"/>
                <w:sz w:val="18"/>
                <w:szCs w:val="18"/>
              </w:rPr>
            </w:pPr>
            <w:r w:rsidRPr="00F67F4D">
              <w:rPr>
                <w:rFonts w:ascii="Verdana" w:hAnsi="Verdana"/>
                <w:b w:val="0"/>
                <w:sz w:val="18"/>
                <w:szCs w:val="18"/>
              </w:rPr>
              <w:t>En 2019, el porcentaje de solicitudes de autorización, renovación y modificación de plaguicidas en proceso dentro del plazo correspondió a 52,74%, por lo cual se supera la meta anual de 50%.</w:t>
            </w:r>
          </w:p>
          <w:p w14:paraId="5C1C8E8C" w14:textId="77777777" w:rsidR="00F67F4D" w:rsidRPr="00F67F4D" w:rsidRDefault="00F67F4D" w:rsidP="00F67F4D">
            <w:pPr>
              <w:jc w:val="both"/>
              <w:rPr>
                <w:rFonts w:ascii="Verdana" w:hAnsi="Verdana"/>
                <w:b w:val="0"/>
                <w:sz w:val="18"/>
                <w:szCs w:val="18"/>
              </w:rPr>
            </w:pPr>
          </w:p>
          <w:p w14:paraId="4E957796" w14:textId="334F2C04" w:rsidR="00F67F4D" w:rsidRPr="00F67F4D" w:rsidRDefault="00032758" w:rsidP="00F67F4D">
            <w:pPr>
              <w:jc w:val="both"/>
              <w:rPr>
                <w:rFonts w:ascii="Verdana" w:hAnsi="Verdana"/>
                <w:b w:val="0"/>
                <w:sz w:val="18"/>
                <w:szCs w:val="18"/>
              </w:rPr>
            </w:pPr>
            <w:r w:rsidRPr="00032758">
              <w:rPr>
                <w:rFonts w:ascii="Verdana" w:hAnsi="Verdana"/>
                <w:b w:val="0"/>
                <w:sz w:val="18"/>
                <w:szCs w:val="18"/>
              </w:rPr>
              <w:t>Las solicitudes en proceso pendientes consideran todas las solicitudes en proceso a diciembre del 2019</w:t>
            </w:r>
            <w:r>
              <w:rPr>
                <w:rFonts w:ascii="Verdana" w:hAnsi="Verdana"/>
                <w:b w:val="0"/>
                <w:sz w:val="18"/>
                <w:szCs w:val="18"/>
              </w:rPr>
              <w:t xml:space="preserve">. </w:t>
            </w:r>
            <w:r w:rsidR="00F67F4D" w:rsidRPr="00F67F4D">
              <w:rPr>
                <w:rFonts w:ascii="Verdana" w:hAnsi="Verdana"/>
                <w:b w:val="0"/>
                <w:sz w:val="18"/>
                <w:szCs w:val="18"/>
              </w:rPr>
              <w:t>De las 749 solicitudes, 106 corresponden a nuevas</w:t>
            </w:r>
            <w:r w:rsidR="003E47E7">
              <w:rPr>
                <w:rFonts w:ascii="Verdana" w:hAnsi="Verdana"/>
                <w:b w:val="0"/>
                <w:sz w:val="18"/>
                <w:szCs w:val="18"/>
              </w:rPr>
              <w:t xml:space="preserve"> (</w:t>
            </w:r>
            <w:r w:rsidR="00F67F4D" w:rsidRPr="00F67F4D">
              <w:rPr>
                <w:rFonts w:ascii="Verdana" w:hAnsi="Verdana"/>
                <w:b w:val="0"/>
                <w:sz w:val="18"/>
                <w:szCs w:val="18"/>
              </w:rPr>
              <w:t>cuyo plazo de evaluación es de 18 meses</w:t>
            </w:r>
            <w:r w:rsidR="003E47E7">
              <w:rPr>
                <w:rFonts w:ascii="Verdana" w:hAnsi="Verdana"/>
                <w:b w:val="0"/>
                <w:sz w:val="18"/>
                <w:szCs w:val="18"/>
              </w:rPr>
              <w:t>)</w:t>
            </w:r>
            <w:r w:rsidR="00F67F4D" w:rsidRPr="00F67F4D">
              <w:rPr>
                <w:rFonts w:ascii="Verdana" w:hAnsi="Verdana"/>
                <w:b w:val="0"/>
                <w:sz w:val="18"/>
                <w:szCs w:val="18"/>
              </w:rPr>
              <w:t>; 160 a renovación</w:t>
            </w:r>
            <w:r w:rsidR="003E47E7">
              <w:rPr>
                <w:rFonts w:ascii="Verdana" w:hAnsi="Verdana"/>
                <w:b w:val="0"/>
                <w:sz w:val="18"/>
                <w:szCs w:val="18"/>
              </w:rPr>
              <w:t xml:space="preserve"> (</w:t>
            </w:r>
            <w:r w:rsidR="00F67F4D" w:rsidRPr="00F67F4D">
              <w:rPr>
                <w:rFonts w:ascii="Verdana" w:hAnsi="Verdana"/>
                <w:b w:val="0"/>
                <w:sz w:val="18"/>
                <w:szCs w:val="18"/>
              </w:rPr>
              <w:t>cuyo plazo de revisión es de 8 meses</w:t>
            </w:r>
            <w:r w:rsidR="003E47E7">
              <w:rPr>
                <w:rFonts w:ascii="Verdana" w:hAnsi="Verdana"/>
                <w:b w:val="0"/>
                <w:sz w:val="18"/>
                <w:szCs w:val="18"/>
              </w:rPr>
              <w:t>)</w:t>
            </w:r>
            <w:r w:rsidR="00F67F4D" w:rsidRPr="00F67F4D">
              <w:rPr>
                <w:rFonts w:ascii="Verdana" w:hAnsi="Verdana"/>
                <w:b w:val="0"/>
                <w:sz w:val="18"/>
                <w:szCs w:val="18"/>
              </w:rPr>
              <w:t>; y 483 a modificaciones varias</w:t>
            </w:r>
            <w:r w:rsidR="003E47E7">
              <w:rPr>
                <w:rFonts w:ascii="Verdana" w:hAnsi="Verdana"/>
                <w:b w:val="0"/>
                <w:sz w:val="18"/>
                <w:szCs w:val="18"/>
              </w:rPr>
              <w:t xml:space="preserve"> (</w:t>
            </w:r>
            <w:r w:rsidR="00F67F4D" w:rsidRPr="00F67F4D">
              <w:rPr>
                <w:rFonts w:ascii="Verdana" w:hAnsi="Verdana"/>
                <w:b w:val="0"/>
                <w:sz w:val="18"/>
                <w:szCs w:val="18"/>
              </w:rPr>
              <w:t>cuyo plazo de evaluación es de 6 meses</w:t>
            </w:r>
            <w:r w:rsidR="003E47E7">
              <w:rPr>
                <w:rFonts w:ascii="Verdana" w:hAnsi="Verdana"/>
                <w:b w:val="0"/>
                <w:sz w:val="18"/>
                <w:szCs w:val="18"/>
              </w:rPr>
              <w:t>,</w:t>
            </w:r>
            <w:r w:rsidR="00F67F4D" w:rsidRPr="00F67F4D">
              <w:rPr>
                <w:rFonts w:ascii="Verdana" w:hAnsi="Verdana"/>
                <w:b w:val="0"/>
                <w:sz w:val="18"/>
                <w:szCs w:val="18"/>
              </w:rPr>
              <w:t xml:space="preserve"> especialmente modificación de etiqueta</w:t>
            </w:r>
            <w:r w:rsidR="003E47E7">
              <w:rPr>
                <w:rFonts w:ascii="Verdana" w:hAnsi="Verdana"/>
                <w:b w:val="0"/>
                <w:sz w:val="18"/>
                <w:szCs w:val="18"/>
              </w:rPr>
              <w:t>s</w:t>
            </w:r>
            <w:r w:rsidR="00F67F4D" w:rsidRPr="00F67F4D">
              <w:rPr>
                <w:rFonts w:ascii="Verdana" w:hAnsi="Verdana"/>
                <w:b w:val="0"/>
                <w:sz w:val="18"/>
                <w:szCs w:val="18"/>
              </w:rPr>
              <w:t xml:space="preserve">). </w:t>
            </w:r>
          </w:p>
          <w:p w14:paraId="57199074" w14:textId="77777777" w:rsidR="00F67F4D" w:rsidRPr="00F67F4D" w:rsidRDefault="00F67F4D" w:rsidP="00F67F4D">
            <w:pPr>
              <w:jc w:val="both"/>
              <w:rPr>
                <w:rFonts w:ascii="Verdana" w:hAnsi="Verdana"/>
                <w:b w:val="0"/>
                <w:sz w:val="18"/>
                <w:szCs w:val="18"/>
              </w:rPr>
            </w:pPr>
          </w:p>
          <w:p w14:paraId="0AC79F9D" w14:textId="135C35BA" w:rsidR="00AC1BC3" w:rsidRDefault="00F67F4D" w:rsidP="00F67F4D">
            <w:pPr>
              <w:jc w:val="both"/>
              <w:rPr>
                <w:rFonts w:ascii="Verdana" w:hAnsi="Verdana"/>
                <w:b w:val="0"/>
                <w:sz w:val="18"/>
                <w:szCs w:val="18"/>
              </w:rPr>
            </w:pPr>
            <w:r w:rsidRPr="00F67F4D">
              <w:rPr>
                <w:rFonts w:ascii="Verdana" w:hAnsi="Verdana"/>
                <w:b w:val="0"/>
                <w:sz w:val="18"/>
                <w:szCs w:val="18"/>
              </w:rPr>
              <w:t>El presente año se cumplió la meta gracias al arduo compromiso y esfuerzo del equipo, debido a que tuvieron una disminución temporal de profesionales dedicados a la actividad de registro (3 al menos) por licencias de post natal y reasignación de tareas para áreas relevantes que lo requerían y por el aumento en la cantidad de productos a evaluar respecto a años anteriores (</w:t>
            </w:r>
            <w:r w:rsidR="00132D4D">
              <w:rPr>
                <w:rFonts w:ascii="Verdana" w:hAnsi="Verdana"/>
                <w:b w:val="0"/>
                <w:sz w:val="18"/>
                <w:szCs w:val="18"/>
              </w:rPr>
              <w:t xml:space="preserve">lo que es </w:t>
            </w:r>
            <w:r w:rsidRPr="00F67F4D">
              <w:rPr>
                <w:rFonts w:ascii="Verdana" w:hAnsi="Verdana"/>
                <w:b w:val="0"/>
                <w:sz w:val="18"/>
                <w:szCs w:val="18"/>
              </w:rPr>
              <w:t xml:space="preserve">a solicitud de terceros, </w:t>
            </w:r>
            <w:r w:rsidR="00132D4D">
              <w:rPr>
                <w:rFonts w:ascii="Verdana" w:hAnsi="Verdana"/>
                <w:b w:val="0"/>
                <w:sz w:val="18"/>
                <w:szCs w:val="18"/>
              </w:rPr>
              <w:t xml:space="preserve">y que no es previsible </w:t>
            </w:r>
            <w:r w:rsidR="008323DA">
              <w:rPr>
                <w:rFonts w:ascii="Verdana" w:hAnsi="Verdana"/>
                <w:b w:val="0"/>
                <w:sz w:val="18"/>
                <w:szCs w:val="18"/>
              </w:rPr>
              <w:t xml:space="preserve">para </w:t>
            </w:r>
            <w:r w:rsidR="008323DA" w:rsidRPr="00F67F4D">
              <w:rPr>
                <w:rFonts w:ascii="Verdana" w:hAnsi="Verdana"/>
                <w:b w:val="0"/>
                <w:sz w:val="18"/>
                <w:szCs w:val="18"/>
              </w:rPr>
              <w:t>el</w:t>
            </w:r>
            <w:r w:rsidRPr="00F67F4D">
              <w:rPr>
                <w:rFonts w:ascii="Verdana" w:hAnsi="Verdana"/>
                <w:b w:val="0"/>
                <w:sz w:val="18"/>
                <w:szCs w:val="18"/>
              </w:rPr>
              <w:t xml:space="preserve"> Servicio).</w:t>
            </w:r>
          </w:p>
          <w:p w14:paraId="27430BF9" w14:textId="77777777" w:rsidR="00F67F4D" w:rsidRPr="00D72D50" w:rsidRDefault="00F67F4D" w:rsidP="00F67F4D">
            <w:pPr>
              <w:jc w:val="both"/>
              <w:rPr>
                <w:rFonts w:ascii="Verdana" w:hAnsi="Verdana"/>
                <w:sz w:val="18"/>
                <w:szCs w:val="18"/>
              </w:rPr>
            </w:pPr>
          </w:p>
        </w:tc>
      </w:tr>
    </w:tbl>
    <w:p w14:paraId="756A24A0" w14:textId="77777777" w:rsidR="00DD7594" w:rsidRDefault="00DD7594" w:rsidP="00C0357D">
      <w:pPr>
        <w:pStyle w:val="Prrafodelista"/>
        <w:jc w:val="both"/>
        <w:rPr>
          <w:rFonts w:ascii="Verdana" w:hAnsi="Verdana"/>
          <w:sz w:val="18"/>
          <w:szCs w:val="18"/>
        </w:rPr>
      </w:pPr>
    </w:p>
    <w:p w14:paraId="040BFE4C" w14:textId="77777777" w:rsidR="00CB18E1" w:rsidRDefault="00CB18E1" w:rsidP="00C0357D">
      <w:pPr>
        <w:pStyle w:val="Prrafodelista"/>
        <w:jc w:val="both"/>
        <w:rPr>
          <w:rFonts w:ascii="Verdana" w:hAnsi="Verdana"/>
          <w:sz w:val="18"/>
          <w:szCs w:val="18"/>
        </w:rPr>
      </w:pPr>
    </w:p>
    <w:tbl>
      <w:tblPr>
        <w:tblStyle w:val="Tabladecuadrcula4-nfasis11"/>
        <w:tblW w:w="5000" w:type="pct"/>
        <w:tblLook w:val="04A0" w:firstRow="1" w:lastRow="0" w:firstColumn="1" w:lastColumn="0" w:noHBand="0" w:noVBand="1"/>
      </w:tblPr>
      <w:tblGrid>
        <w:gridCol w:w="4958"/>
        <w:gridCol w:w="1418"/>
        <w:gridCol w:w="2452"/>
      </w:tblGrid>
      <w:tr w:rsidR="00667A72" w14:paraId="415281BD" w14:textId="77777777" w:rsidTr="004711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pct"/>
          </w:tcPr>
          <w:p w14:paraId="5B2759F0" w14:textId="77777777" w:rsidR="00667A72" w:rsidRPr="00D72D50" w:rsidRDefault="00667A72" w:rsidP="00776881">
            <w:pPr>
              <w:jc w:val="center"/>
              <w:rPr>
                <w:rFonts w:ascii="Verdana" w:hAnsi="Verdana"/>
                <w:sz w:val="18"/>
                <w:szCs w:val="18"/>
              </w:rPr>
            </w:pPr>
            <w:r w:rsidRPr="00D72D50">
              <w:rPr>
                <w:rFonts w:ascii="Verdana" w:hAnsi="Verdana"/>
                <w:sz w:val="18"/>
                <w:szCs w:val="18"/>
              </w:rPr>
              <w:t>Objetivo Estratégico</w:t>
            </w:r>
          </w:p>
        </w:tc>
        <w:tc>
          <w:tcPr>
            <w:tcW w:w="2192" w:type="pct"/>
            <w:gridSpan w:val="2"/>
          </w:tcPr>
          <w:p w14:paraId="0FB22C19" w14:textId="77777777" w:rsidR="00667A72" w:rsidRPr="00D72D50" w:rsidRDefault="00D17E22" w:rsidP="00863CAB">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sidRPr="00D72D50">
              <w:rPr>
                <w:rFonts w:ascii="Verdana" w:hAnsi="Verdana"/>
                <w:sz w:val="18"/>
                <w:szCs w:val="18"/>
              </w:rPr>
              <w:t>Objetivo Específico 201</w:t>
            </w:r>
            <w:r w:rsidR="00863CAB">
              <w:rPr>
                <w:rFonts w:ascii="Verdana" w:hAnsi="Verdana"/>
                <w:sz w:val="18"/>
                <w:szCs w:val="18"/>
              </w:rPr>
              <w:t>9</w:t>
            </w:r>
            <w:r>
              <w:rPr>
                <w:rFonts w:ascii="Verdana" w:hAnsi="Verdana"/>
                <w:sz w:val="18"/>
                <w:szCs w:val="18"/>
              </w:rPr>
              <w:t xml:space="preserve"> (Táctico)</w:t>
            </w:r>
          </w:p>
        </w:tc>
      </w:tr>
      <w:tr w:rsidR="00667A72" w14:paraId="2356504E" w14:textId="77777777" w:rsidTr="004711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pct"/>
          </w:tcPr>
          <w:p w14:paraId="15481484" w14:textId="77777777" w:rsidR="00667A72" w:rsidRPr="001019D8" w:rsidRDefault="00863CAB" w:rsidP="00776881">
            <w:pPr>
              <w:jc w:val="both"/>
              <w:rPr>
                <w:rFonts w:ascii="Verdana" w:hAnsi="Verdana"/>
                <w:sz w:val="18"/>
                <w:szCs w:val="18"/>
              </w:rPr>
            </w:pPr>
            <w:r w:rsidRPr="001019D8">
              <w:rPr>
                <w:rFonts w:ascii="Verdana" w:hAnsi="Verdana" w:cstheme="minorHAnsi"/>
                <w:sz w:val="20"/>
                <w:szCs w:val="20"/>
              </w:rPr>
              <w:t>Simplificar y agilizar la gestión de los servicios entregados para una mejor y oportuna atención a usuarios/as, a través de la  generación y actualización de normativas y procedimientos.</w:t>
            </w:r>
          </w:p>
        </w:tc>
        <w:tc>
          <w:tcPr>
            <w:tcW w:w="2192" w:type="pct"/>
            <w:gridSpan w:val="2"/>
          </w:tcPr>
          <w:p w14:paraId="0947D22A" w14:textId="77777777" w:rsidR="00667A72" w:rsidRPr="001019D8" w:rsidRDefault="00863CAB" w:rsidP="00776881">
            <w:pPr>
              <w:jc w:val="both"/>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1019D8">
              <w:rPr>
                <w:rFonts w:ascii="Verdana" w:hAnsi="Verdana" w:cstheme="minorHAnsi"/>
                <w:sz w:val="20"/>
                <w:szCs w:val="20"/>
              </w:rPr>
              <w:t xml:space="preserve">Cumplir oportunamente con el análisis serológico  ante denuncias </w:t>
            </w:r>
            <w:proofErr w:type="spellStart"/>
            <w:r w:rsidRPr="001019D8">
              <w:rPr>
                <w:rFonts w:ascii="Verdana" w:hAnsi="Verdana" w:cstheme="minorHAnsi"/>
                <w:sz w:val="20"/>
                <w:szCs w:val="20"/>
              </w:rPr>
              <w:t>emergenciales</w:t>
            </w:r>
            <w:proofErr w:type="spellEnd"/>
            <w:r w:rsidRPr="001019D8">
              <w:rPr>
                <w:rFonts w:ascii="Verdana" w:hAnsi="Verdana" w:cstheme="minorHAnsi"/>
                <w:sz w:val="20"/>
                <w:szCs w:val="20"/>
              </w:rPr>
              <w:t xml:space="preserve"> pecuarias.</w:t>
            </w:r>
          </w:p>
        </w:tc>
      </w:tr>
      <w:tr w:rsidR="00667A72" w14:paraId="63FE4C73" w14:textId="77777777" w:rsidTr="004711B9">
        <w:tc>
          <w:tcPr>
            <w:cnfStyle w:val="001000000000" w:firstRow="0" w:lastRow="0" w:firstColumn="1" w:lastColumn="0" w:oddVBand="0" w:evenVBand="0" w:oddHBand="0" w:evenHBand="0" w:firstRowFirstColumn="0" w:firstRowLastColumn="0" w:lastRowFirstColumn="0" w:lastRowLastColumn="0"/>
            <w:tcW w:w="2808" w:type="pct"/>
            <w:shd w:val="clear" w:color="auto" w:fill="5B9BD5" w:themeFill="accent1"/>
          </w:tcPr>
          <w:p w14:paraId="415378E8" w14:textId="77777777" w:rsidR="00667A72" w:rsidRPr="001019D8" w:rsidRDefault="00667A72" w:rsidP="00776881">
            <w:pPr>
              <w:jc w:val="center"/>
              <w:rPr>
                <w:rFonts w:ascii="Verdana" w:hAnsi="Verdana"/>
                <w:color w:val="FFFFFF" w:themeColor="background1"/>
                <w:sz w:val="18"/>
                <w:szCs w:val="18"/>
              </w:rPr>
            </w:pPr>
            <w:r w:rsidRPr="001019D8">
              <w:rPr>
                <w:rFonts w:ascii="Verdana" w:hAnsi="Verdana"/>
                <w:color w:val="FFFFFF" w:themeColor="background1"/>
                <w:sz w:val="18"/>
                <w:szCs w:val="18"/>
              </w:rPr>
              <w:t>Indicador</w:t>
            </w:r>
          </w:p>
        </w:tc>
        <w:tc>
          <w:tcPr>
            <w:tcW w:w="803" w:type="pct"/>
            <w:shd w:val="clear" w:color="auto" w:fill="5B9BD5" w:themeFill="accent1"/>
          </w:tcPr>
          <w:p w14:paraId="3A523B71" w14:textId="77777777" w:rsidR="00667A72" w:rsidRPr="001019D8" w:rsidRDefault="00C6194D" w:rsidP="00863CAB">
            <w:pPr>
              <w:jc w:val="center"/>
              <w:cnfStyle w:val="000000000000" w:firstRow="0" w:lastRow="0" w:firstColumn="0" w:lastColumn="0" w:oddVBand="0" w:evenVBand="0" w:oddHBand="0" w:evenHBand="0" w:firstRowFirstColumn="0" w:firstRowLastColumn="0" w:lastRowFirstColumn="0" w:lastRowLastColumn="0"/>
              <w:rPr>
                <w:rFonts w:ascii="Verdana" w:hAnsi="Verdana"/>
                <w:b/>
                <w:color w:val="FFFFFF" w:themeColor="background1"/>
                <w:sz w:val="18"/>
                <w:szCs w:val="18"/>
              </w:rPr>
            </w:pPr>
            <w:r w:rsidRPr="001019D8">
              <w:rPr>
                <w:rFonts w:ascii="Verdana" w:hAnsi="Verdana"/>
                <w:b/>
                <w:color w:val="FFFFFF" w:themeColor="background1"/>
                <w:sz w:val="18"/>
                <w:szCs w:val="18"/>
              </w:rPr>
              <w:t>Meta 201</w:t>
            </w:r>
            <w:r w:rsidR="00863CAB" w:rsidRPr="001019D8">
              <w:rPr>
                <w:rFonts w:ascii="Verdana" w:hAnsi="Verdana"/>
                <w:b/>
                <w:color w:val="FFFFFF" w:themeColor="background1"/>
                <w:sz w:val="18"/>
                <w:szCs w:val="18"/>
              </w:rPr>
              <w:t>9</w:t>
            </w:r>
          </w:p>
        </w:tc>
        <w:tc>
          <w:tcPr>
            <w:tcW w:w="1390" w:type="pct"/>
            <w:shd w:val="clear" w:color="auto" w:fill="5B9BD5" w:themeFill="accent1"/>
          </w:tcPr>
          <w:p w14:paraId="7FBF2BBF" w14:textId="77777777" w:rsidR="00667A72" w:rsidRPr="001019D8" w:rsidRDefault="0096609A" w:rsidP="00863CAB">
            <w:pPr>
              <w:jc w:val="center"/>
              <w:cnfStyle w:val="000000000000" w:firstRow="0" w:lastRow="0" w:firstColumn="0" w:lastColumn="0" w:oddVBand="0" w:evenVBand="0" w:oddHBand="0" w:evenHBand="0" w:firstRowFirstColumn="0" w:firstRowLastColumn="0" w:lastRowFirstColumn="0" w:lastRowLastColumn="0"/>
              <w:rPr>
                <w:rFonts w:ascii="Verdana" w:hAnsi="Verdana"/>
                <w:b/>
                <w:color w:val="FFFFFF" w:themeColor="background1"/>
                <w:sz w:val="18"/>
                <w:szCs w:val="18"/>
              </w:rPr>
            </w:pPr>
            <w:r w:rsidRPr="001019D8">
              <w:rPr>
                <w:rFonts w:ascii="Verdana" w:hAnsi="Verdana"/>
                <w:b/>
                <w:color w:val="FFFFFF" w:themeColor="background1"/>
                <w:sz w:val="18"/>
                <w:szCs w:val="18"/>
              </w:rPr>
              <w:t>Resultado al 31.12.19</w:t>
            </w:r>
          </w:p>
        </w:tc>
      </w:tr>
      <w:tr w:rsidR="00667A72" w14:paraId="593B247D" w14:textId="77777777" w:rsidTr="004711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pct"/>
          </w:tcPr>
          <w:p w14:paraId="2DC7C09A" w14:textId="77777777" w:rsidR="00667A72" w:rsidRPr="001019D8" w:rsidRDefault="00863CAB" w:rsidP="00776881">
            <w:pPr>
              <w:jc w:val="both"/>
              <w:rPr>
                <w:rFonts w:ascii="Verdana" w:hAnsi="Verdana"/>
                <w:sz w:val="18"/>
                <w:szCs w:val="18"/>
              </w:rPr>
            </w:pPr>
            <w:r w:rsidRPr="001019D8">
              <w:rPr>
                <w:rFonts w:ascii="Verdana" w:hAnsi="Verdana" w:cstheme="minorHAnsi"/>
                <w:sz w:val="20"/>
                <w:szCs w:val="20"/>
              </w:rPr>
              <w:t xml:space="preserve">Tiempo promedio de respuesta de los análisis serológicos efectuados a las muestras de Denuncias </w:t>
            </w:r>
            <w:proofErr w:type="spellStart"/>
            <w:r w:rsidRPr="001019D8">
              <w:rPr>
                <w:rFonts w:ascii="Verdana" w:hAnsi="Verdana" w:cstheme="minorHAnsi"/>
                <w:sz w:val="20"/>
                <w:szCs w:val="20"/>
              </w:rPr>
              <w:t>Emergenciales</w:t>
            </w:r>
            <w:proofErr w:type="spellEnd"/>
            <w:r w:rsidRPr="001019D8">
              <w:rPr>
                <w:rFonts w:ascii="Verdana" w:hAnsi="Verdana" w:cstheme="minorHAnsi"/>
                <w:sz w:val="20"/>
                <w:szCs w:val="20"/>
              </w:rPr>
              <w:t xml:space="preserve"> Pecuarias.</w:t>
            </w:r>
          </w:p>
        </w:tc>
        <w:tc>
          <w:tcPr>
            <w:tcW w:w="803" w:type="pct"/>
            <w:vAlign w:val="center"/>
          </w:tcPr>
          <w:p w14:paraId="6334B234" w14:textId="77777777" w:rsidR="00667A72" w:rsidRPr="001019D8" w:rsidRDefault="00667A72" w:rsidP="00863CAB">
            <w:pPr>
              <w:jc w:val="cente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1019D8">
              <w:rPr>
                <w:rFonts w:ascii="Verdana" w:hAnsi="Verdana"/>
                <w:sz w:val="24"/>
                <w:szCs w:val="24"/>
              </w:rPr>
              <w:t>5,</w:t>
            </w:r>
            <w:r w:rsidR="00863CAB" w:rsidRPr="001019D8">
              <w:rPr>
                <w:rFonts w:ascii="Verdana" w:hAnsi="Verdana"/>
                <w:sz w:val="24"/>
                <w:szCs w:val="24"/>
              </w:rPr>
              <w:t>29</w:t>
            </w:r>
            <w:r w:rsidRPr="001019D8">
              <w:rPr>
                <w:rFonts w:ascii="Verdana" w:hAnsi="Verdana"/>
                <w:sz w:val="24"/>
                <w:szCs w:val="24"/>
              </w:rPr>
              <w:t xml:space="preserve"> días</w:t>
            </w:r>
          </w:p>
        </w:tc>
        <w:tc>
          <w:tcPr>
            <w:tcW w:w="1390" w:type="pct"/>
            <w:vAlign w:val="center"/>
          </w:tcPr>
          <w:p w14:paraId="77A5620F" w14:textId="77777777" w:rsidR="00BD4AAF" w:rsidRPr="001019D8" w:rsidRDefault="0092772C" w:rsidP="003D0123">
            <w:pPr>
              <w:jc w:val="cente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1019D8">
              <w:rPr>
                <w:rFonts w:ascii="Verdana" w:hAnsi="Verdana"/>
                <w:sz w:val="24"/>
                <w:szCs w:val="24"/>
              </w:rPr>
              <w:t>3</w:t>
            </w:r>
            <w:r w:rsidR="002C11AF" w:rsidRPr="001019D8">
              <w:rPr>
                <w:rFonts w:ascii="Verdana" w:hAnsi="Verdana"/>
                <w:sz w:val="24"/>
                <w:szCs w:val="24"/>
              </w:rPr>
              <w:t>,</w:t>
            </w:r>
            <w:r w:rsidRPr="001019D8">
              <w:rPr>
                <w:rFonts w:ascii="Verdana" w:hAnsi="Verdana"/>
                <w:sz w:val="24"/>
                <w:szCs w:val="24"/>
              </w:rPr>
              <w:t>61</w:t>
            </w:r>
            <w:r w:rsidR="00BD4AAF" w:rsidRPr="001019D8">
              <w:rPr>
                <w:rFonts w:ascii="Verdana" w:hAnsi="Verdana"/>
                <w:sz w:val="24"/>
                <w:szCs w:val="24"/>
              </w:rPr>
              <w:t xml:space="preserve"> días</w:t>
            </w:r>
          </w:p>
          <w:p w14:paraId="1EAFCC3E" w14:textId="77777777" w:rsidR="00667A72" w:rsidRPr="001019D8" w:rsidRDefault="00BD4AAF" w:rsidP="0092772C">
            <w:pPr>
              <w:jc w:val="center"/>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1019D8">
              <w:rPr>
                <w:rFonts w:ascii="Verdana" w:hAnsi="Verdana"/>
                <w:sz w:val="24"/>
                <w:szCs w:val="24"/>
              </w:rPr>
              <w:t>(</w:t>
            </w:r>
            <w:r w:rsidR="0092772C" w:rsidRPr="001019D8">
              <w:rPr>
                <w:rFonts w:ascii="Verdana" w:hAnsi="Verdana"/>
                <w:sz w:val="24"/>
                <w:szCs w:val="24"/>
              </w:rPr>
              <w:t>9</w:t>
            </w:r>
            <w:r w:rsidR="001278FF" w:rsidRPr="001019D8">
              <w:rPr>
                <w:rFonts w:ascii="Verdana" w:hAnsi="Verdana"/>
                <w:sz w:val="24"/>
                <w:szCs w:val="24"/>
              </w:rPr>
              <w:t>.</w:t>
            </w:r>
            <w:r w:rsidR="0092772C" w:rsidRPr="001019D8">
              <w:rPr>
                <w:rFonts w:ascii="Verdana" w:hAnsi="Verdana"/>
                <w:sz w:val="24"/>
                <w:szCs w:val="24"/>
              </w:rPr>
              <w:t>522</w:t>
            </w:r>
            <w:r w:rsidRPr="001019D8">
              <w:rPr>
                <w:rFonts w:ascii="Verdana" w:hAnsi="Verdana"/>
                <w:sz w:val="24"/>
                <w:szCs w:val="24"/>
              </w:rPr>
              <w:t>/</w:t>
            </w:r>
            <w:r w:rsidR="0092772C" w:rsidRPr="001019D8">
              <w:rPr>
                <w:rFonts w:ascii="Verdana" w:hAnsi="Verdana"/>
                <w:sz w:val="24"/>
                <w:szCs w:val="24"/>
              </w:rPr>
              <w:t>2</w:t>
            </w:r>
            <w:r w:rsidR="00111B0D" w:rsidRPr="001019D8">
              <w:rPr>
                <w:rFonts w:ascii="Verdana" w:hAnsi="Verdana"/>
                <w:sz w:val="24"/>
                <w:szCs w:val="24"/>
              </w:rPr>
              <w:t>.</w:t>
            </w:r>
            <w:r w:rsidR="0092772C" w:rsidRPr="001019D8">
              <w:rPr>
                <w:rFonts w:ascii="Verdana" w:hAnsi="Verdana"/>
                <w:sz w:val="24"/>
                <w:szCs w:val="24"/>
              </w:rPr>
              <w:t>640</w:t>
            </w:r>
            <w:r w:rsidRPr="001019D8">
              <w:rPr>
                <w:rFonts w:ascii="Verdana" w:hAnsi="Verdana"/>
                <w:sz w:val="24"/>
                <w:szCs w:val="24"/>
              </w:rPr>
              <w:t>)</w:t>
            </w:r>
          </w:p>
        </w:tc>
      </w:tr>
      <w:tr w:rsidR="00667A72" w14:paraId="46DB734C" w14:textId="77777777" w:rsidTr="00776881">
        <w:tc>
          <w:tcPr>
            <w:cnfStyle w:val="001000000000" w:firstRow="0" w:lastRow="0" w:firstColumn="1" w:lastColumn="0" w:oddVBand="0" w:evenVBand="0" w:oddHBand="0" w:evenHBand="0" w:firstRowFirstColumn="0" w:firstRowLastColumn="0" w:lastRowFirstColumn="0" w:lastRowLastColumn="0"/>
            <w:tcW w:w="5000" w:type="pct"/>
            <w:gridSpan w:val="3"/>
          </w:tcPr>
          <w:p w14:paraId="4CF3B191" w14:textId="77777777" w:rsidR="00667A72" w:rsidRDefault="0096609A" w:rsidP="00776881">
            <w:pPr>
              <w:spacing w:before="120"/>
              <w:jc w:val="both"/>
              <w:rPr>
                <w:rFonts w:ascii="Verdana" w:hAnsi="Verdana"/>
                <w:sz w:val="18"/>
                <w:szCs w:val="18"/>
              </w:rPr>
            </w:pPr>
            <w:r>
              <w:rPr>
                <w:rFonts w:ascii="Verdana" w:hAnsi="Verdana"/>
                <w:sz w:val="18"/>
                <w:szCs w:val="18"/>
              </w:rPr>
              <w:t>Descripción del Resultado:</w:t>
            </w:r>
          </w:p>
          <w:p w14:paraId="3BEFDF91" w14:textId="77777777" w:rsidR="00547D0E" w:rsidRPr="00B31F66" w:rsidRDefault="00547D0E" w:rsidP="00547D0E">
            <w:pPr>
              <w:jc w:val="both"/>
              <w:rPr>
                <w:rFonts w:ascii="Verdana" w:hAnsi="Verdana"/>
                <w:b w:val="0"/>
                <w:sz w:val="18"/>
                <w:szCs w:val="18"/>
              </w:rPr>
            </w:pPr>
            <w:r w:rsidRPr="00B31F66">
              <w:rPr>
                <w:rFonts w:ascii="Verdana" w:hAnsi="Verdana"/>
                <w:b w:val="0"/>
                <w:sz w:val="18"/>
                <w:szCs w:val="18"/>
              </w:rPr>
              <w:t xml:space="preserve">Los análisis serológicos son de suma importancia para el Servicio, puesto que son una valiosa herramienta para el diagnóstico de enfermedades pecuarias, </w:t>
            </w:r>
            <w:r w:rsidR="00132D4D">
              <w:rPr>
                <w:rFonts w:ascii="Verdana" w:hAnsi="Verdana"/>
                <w:b w:val="0"/>
                <w:sz w:val="18"/>
                <w:szCs w:val="18"/>
              </w:rPr>
              <w:t xml:space="preserve">y </w:t>
            </w:r>
            <w:r w:rsidRPr="00B31F66">
              <w:rPr>
                <w:rFonts w:ascii="Verdana" w:hAnsi="Verdana"/>
                <w:b w:val="0"/>
                <w:sz w:val="18"/>
                <w:szCs w:val="18"/>
              </w:rPr>
              <w:t xml:space="preserve">la relevancia que se le ha dado a la ejecución de estos análisis, ha permitido acrecentar la condición </w:t>
            </w:r>
            <w:proofErr w:type="spellStart"/>
            <w:r w:rsidRPr="00B31F66">
              <w:rPr>
                <w:rFonts w:ascii="Verdana" w:hAnsi="Verdana"/>
                <w:b w:val="0"/>
                <w:sz w:val="18"/>
                <w:szCs w:val="18"/>
              </w:rPr>
              <w:t>fito</w:t>
            </w:r>
            <w:proofErr w:type="spellEnd"/>
            <w:r w:rsidRPr="00B31F66">
              <w:rPr>
                <w:rFonts w:ascii="Verdana" w:hAnsi="Verdana"/>
                <w:b w:val="0"/>
                <w:sz w:val="18"/>
                <w:szCs w:val="18"/>
              </w:rPr>
              <w:t xml:space="preserve"> y zoosanitaria de los recursos </w:t>
            </w:r>
            <w:proofErr w:type="spellStart"/>
            <w:r w:rsidRPr="00B31F66">
              <w:rPr>
                <w:rFonts w:ascii="Verdana" w:hAnsi="Verdana"/>
                <w:b w:val="0"/>
                <w:sz w:val="18"/>
                <w:szCs w:val="18"/>
              </w:rPr>
              <w:t>silvoagropecuarios</w:t>
            </w:r>
            <w:proofErr w:type="spellEnd"/>
            <w:r w:rsidRPr="00B31F66">
              <w:rPr>
                <w:rFonts w:ascii="Verdana" w:hAnsi="Verdana"/>
                <w:b w:val="0"/>
                <w:sz w:val="18"/>
                <w:szCs w:val="18"/>
              </w:rPr>
              <w:t xml:space="preserve"> productivos y ha contribuido a consolidar al SAG como una autoridad </w:t>
            </w:r>
            <w:proofErr w:type="spellStart"/>
            <w:r w:rsidRPr="00B31F66">
              <w:rPr>
                <w:rFonts w:ascii="Verdana" w:hAnsi="Verdana"/>
                <w:b w:val="0"/>
                <w:sz w:val="18"/>
                <w:szCs w:val="18"/>
              </w:rPr>
              <w:t>fito</w:t>
            </w:r>
            <w:proofErr w:type="spellEnd"/>
            <w:r w:rsidRPr="00B31F66">
              <w:rPr>
                <w:rFonts w:ascii="Verdana" w:hAnsi="Verdana"/>
                <w:b w:val="0"/>
                <w:sz w:val="18"/>
                <w:szCs w:val="18"/>
              </w:rPr>
              <w:t xml:space="preserve"> y zoosanitaria capaz de apoyar la apertura y mantención de mercados. </w:t>
            </w:r>
          </w:p>
          <w:p w14:paraId="7C6099FC" w14:textId="77777777" w:rsidR="00547D0E" w:rsidRPr="00B31F66" w:rsidRDefault="00547D0E" w:rsidP="00547D0E">
            <w:pPr>
              <w:jc w:val="both"/>
              <w:rPr>
                <w:rFonts w:ascii="Verdana" w:hAnsi="Verdana"/>
                <w:b w:val="0"/>
                <w:sz w:val="18"/>
                <w:szCs w:val="18"/>
              </w:rPr>
            </w:pPr>
          </w:p>
          <w:p w14:paraId="4C1D858A" w14:textId="77777777" w:rsidR="004711B9" w:rsidRDefault="004711B9" w:rsidP="00547D0E">
            <w:pPr>
              <w:jc w:val="both"/>
              <w:rPr>
                <w:rFonts w:ascii="Verdana" w:hAnsi="Verdana"/>
                <w:b w:val="0"/>
                <w:sz w:val="18"/>
                <w:szCs w:val="18"/>
              </w:rPr>
            </w:pPr>
          </w:p>
          <w:p w14:paraId="1E818B03" w14:textId="77777777" w:rsidR="004711B9" w:rsidRDefault="004711B9" w:rsidP="00547D0E">
            <w:pPr>
              <w:jc w:val="both"/>
              <w:rPr>
                <w:rFonts w:ascii="Verdana" w:hAnsi="Verdana"/>
                <w:b w:val="0"/>
                <w:sz w:val="18"/>
                <w:szCs w:val="18"/>
              </w:rPr>
            </w:pPr>
          </w:p>
          <w:p w14:paraId="2100505C" w14:textId="2AD3E83F" w:rsidR="00547D0E" w:rsidRPr="00B31F66" w:rsidRDefault="00547D0E" w:rsidP="00547D0E">
            <w:pPr>
              <w:jc w:val="both"/>
              <w:rPr>
                <w:rFonts w:ascii="Verdana" w:hAnsi="Verdana"/>
                <w:b w:val="0"/>
                <w:sz w:val="18"/>
                <w:szCs w:val="18"/>
              </w:rPr>
            </w:pPr>
            <w:r w:rsidRPr="00B31F66">
              <w:rPr>
                <w:rFonts w:ascii="Verdana" w:hAnsi="Verdana"/>
                <w:b w:val="0"/>
                <w:sz w:val="18"/>
                <w:szCs w:val="18"/>
              </w:rPr>
              <w:t xml:space="preserve">Para 2019, el indicador "Tiempo promedio de respuesta de los análisis serológicos efectuados a las muestras de Denuncias </w:t>
            </w:r>
            <w:proofErr w:type="spellStart"/>
            <w:r w:rsidRPr="00B31F66">
              <w:rPr>
                <w:rFonts w:ascii="Verdana" w:hAnsi="Verdana"/>
                <w:b w:val="0"/>
                <w:sz w:val="18"/>
                <w:szCs w:val="18"/>
              </w:rPr>
              <w:t>Emergenciales</w:t>
            </w:r>
            <w:proofErr w:type="spellEnd"/>
            <w:r w:rsidRPr="00B31F66">
              <w:rPr>
                <w:rFonts w:ascii="Verdana" w:hAnsi="Verdana"/>
                <w:b w:val="0"/>
                <w:sz w:val="18"/>
                <w:szCs w:val="18"/>
              </w:rPr>
              <w:t xml:space="preserve"> Pecuaria", obtiene un resultado de 3,61 días, cumpliendo con la meta establecida del indicador (5,29 días) dado que se trata de un indicador con comportamiento descendente, por lo que se considera que a medida que el resultado obtenido es menor a la meta, mejor es su desempeño.</w:t>
            </w:r>
          </w:p>
          <w:p w14:paraId="24179DFC" w14:textId="77777777" w:rsidR="00547D0E" w:rsidRPr="00B31F66" w:rsidRDefault="00547D0E" w:rsidP="00547D0E">
            <w:pPr>
              <w:jc w:val="both"/>
              <w:rPr>
                <w:rFonts w:ascii="Verdana" w:hAnsi="Verdana"/>
                <w:b w:val="0"/>
                <w:sz w:val="18"/>
                <w:szCs w:val="18"/>
              </w:rPr>
            </w:pPr>
          </w:p>
          <w:p w14:paraId="391487BE" w14:textId="38E03C0A" w:rsidR="00547D0E" w:rsidRPr="00B31F66" w:rsidRDefault="00547D0E" w:rsidP="00547D0E">
            <w:pPr>
              <w:jc w:val="both"/>
              <w:rPr>
                <w:rFonts w:ascii="Verdana" w:hAnsi="Verdana"/>
                <w:b w:val="0"/>
                <w:sz w:val="18"/>
                <w:szCs w:val="18"/>
              </w:rPr>
            </w:pPr>
            <w:r w:rsidRPr="00B31F66">
              <w:rPr>
                <w:rFonts w:ascii="Verdana" w:hAnsi="Verdana"/>
                <w:b w:val="0"/>
                <w:sz w:val="18"/>
                <w:szCs w:val="18"/>
              </w:rPr>
              <w:t xml:space="preserve">Al realizar el análisis de los resultados obtenidos, se observa que se recibieron 2.640 muestras serológicas por denuncia, 608 muestras </w:t>
            </w:r>
            <w:r w:rsidR="00B724CD">
              <w:rPr>
                <w:rFonts w:ascii="Verdana" w:hAnsi="Verdana"/>
                <w:b w:val="0"/>
                <w:sz w:val="18"/>
                <w:szCs w:val="18"/>
              </w:rPr>
              <w:t>más que las muestras estimadas</w:t>
            </w:r>
            <w:r w:rsidRPr="00B31F66">
              <w:rPr>
                <w:rFonts w:ascii="Verdana" w:hAnsi="Verdana"/>
                <w:b w:val="0"/>
                <w:sz w:val="18"/>
                <w:szCs w:val="18"/>
              </w:rPr>
              <w:t xml:space="preserve"> (2.032), lo que equivale a un incremento de un 30% debido al comportamiento de variables externas que no dependen del Servicio, como son los eventos sanitarios. </w:t>
            </w:r>
          </w:p>
          <w:p w14:paraId="63A84A87" w14:textId="77777777" w:rsidR="00547D0E" w:rsidRPr="00B31F66" w:rsidRDefault="00547D0E" w:rsidP="00547D0E">
            <w:pPr>
              <w:jc w:val="both"/>
              <w:rPr>
                <w:rFonts w:ascii="Verdana" w:hAnsi="Verdana"/>
                <w:b w:val="0"/>
                <w:sz w:val="18"/>
                <w:szCs w:val="18"/>
              </w:rPr>
            </w:pPr>
          </w:p>
          <w:p w14:paraId="4A401A53" w14:textId="1F873CF7" w:rsidR="00547D0E" w:rsidRDefault="00547D0E" w:rsidP="00547D0E">
            <w:pPr>
              <w:jc w:val="both"/>
              <w:rPr>
                <w:rFonts w:ascii="Verdana" w:hAnsi="Verdana"/>
                <w:b w:val="0"/>
                <w:sz w:val="18"/>
                <w:szCs w:val="18"/>
              </w:rPr>
            </w:pPr>
            <w:r w:rsidRPr="00B31F66">
              <w:rPr>
                <w:rFonts w:ascii="Verdana" w:hAnsi="Verdana"/>
                <w:b w:val="0"/>
                <w:sz w:val="18"/>
                <w:szCs w:val="18"/>
              </w:rPr>
              <w:t>El valor logrado como tiempo promedio de respuesta de los análisis serológicos (3,61 días), que se traduce en un sobrecumplimiento</w:t>
            </w:r>
            <w:r w:rsidR="00132D4D">
              <w:rPr>
                <w:rFonts w:ascii="Verdana" w:hAnsi="Verdana"/>
                <w:b w:val="0"/>
                <w:sz w:val="18"/>
                <w:szCs w:val="18"/>
              </w:rPr>
              <w:t xml:space="preserve"> de la meta del </w:t>
            </w:r>
            <w:r w:rsidR="000A4C04">
              <w:rPr>
                <w:rFonts w:ascii="Verdana" w:hAnsi="Verdana"/>
                <w:b w:val="0"/>
                <w:sz w:val="18"/>
                <w:szCs w:val="18"/>
              </w:rPr>
              <w:t>indicador</w:t>
            </w:r>
            <w:r w:rsidR="00132D4D">
              <w:rPr>
                <w:rFonts w:ascii="Verdana" w:hAnsi="Verdana"/>
                <w:b w:val="0"/>
                <w:sz w:val="18"/>
                <w:szCs w:val="18"/>
              </w:rPr>
              <w:t xml:space="preserve">, se </w:t>
            </w:r>
            <w:r w:rsidR="000A4C04">
              <w:rPr>
                <w:rFonts w:ascii="Verdana" w:hAnsi="Verdana"/>
                <w:b w:val="0"/>
                <w:sz w:val="18"/>
                <w:szCs w:val="18"/>
              </w:rPr>
              <w:t xml:space="preserve">debió </w:t>
            </w:r>
            <w:r w:rsidR="000A4C04" w:rsidRPr="00B31F66">
              <w:rPr>
                <w:rFonts w:ascii="Verdana" w:hAnsi="Verdana"/>
                <w:b w:val="0"/>
                <w:sz w:val="18"/>
                <w:szCs w:val="18"/>
              </w:rPr>
              <w:t>a</w:t>
            </w:r>
            <w:r w:rsidRPr="00B31F66">
              <w:rPr>
                <w:rFonts w:ascii="Verdana" w:hAnsi="Verdana"/>
                <w:b w:val="0"/>
                <w:sz w:val="18"/>
                <w:szCs w:val="18"/>
              </w:rPr>
              <w:t xml:space="preserve"> la i</w:t>
            </w:r>
            <w:r w:rsidR="00132D4D">
              <w:rPr>
                <w:rFonts w:ascii="Verdana" w:hAnsi="Verdana"/>
                <w:b w:val="0"/>
                <w:sz w:val="18"/>
                <w:szCs w:val="18"/>
              </w:rPr>
              <w:t>mplement</w:t>
            </w:r>
            <w:r w:rsidRPr="00B31F66">
              <w:rPr>
                <w:rFonts w:ascii="Verdana" w:hAnsi="Verdana"/>
                <w:b w:val="0"/>
                <w:sz w:val="18"/>
                <w:szCs w:val="18"/>
              </w:rPr>
              <w:t>ación de una serie de medidas durante el período 2019, tales como:</w:t>
            </w:r>
          </w:p>
          <w:p w14:paraId="183EB09B" w14:textId="77777777" w:rsidR="00547D0E" w:rsidRPr="00B31F66" w:rsidRDefault="00547D0E" w:rsidP="00547D0E">
            <w:pPr>
              <w:jc w:val="both"/>
              <w:rPr>
                <w:rFonts w:ascii="Verdana" w:hAnsi="Verdana"/>
                <w:b w:val="0"/>
                <w:sz w:val="18"/>
                <w:szCs w:val="18"/>
              </w:rPr>
            </w:pPr>
          </w:p>
          <w:p w14:paraId="3809E49B" w14:textId="5EB4CC6A" w:rsidR="00547D0E" w:rsidRPr="00A056EA" w:rsidRDefault="00547D0E" w:rsidP="00547D0E">
            <w:pPr>
              <w:jc w:val="both"/>
              <w:rPr>
                <w:rFonts w:ascii="Verdana" w:hAnsi="Verdana"/>
                <w:b w:val="0"/>
                <w:sz w:val="18"/>
                <w:szCs w:val="18"/>
              </w:rPr>
            </w:pPr>
            <w:r w:rsidRPr="00A056EA">
              <w:rPr>
                <w:rFonts w:ascii="Verdana" w:hAnsi="Verdana"/>
                <w:b w:val="0"/>
                <w:sz w:val="18"/>
                <w:szCs w:val="18"/>
              </w:rPr>
              <w:t xml:space="preserve">- Mejoras en la </w:t>
            </w:r>
            <w:proofErr w:type="spellStart"/>
            <w:r w:rsidRPr="00A056EA">
              <w:rPr>
                <w:rFonts w:ascii="Verdana" w:hAnsi="Verdana"/>
                <w:b w:val="0"/>
                <w:sz w:val="18"/>
                <w:szCs w:val="18"/>
              </w:rPr>
              <w:t>reportabilidad</w:t>
            </w:r>
            <w:proofErr w:type="spellEnd"/>
            <w:r w:rsidRPr="00A056EA">
              <w:rPr>
                <w:rFonts w:ascii="Verdana" w:hAnsi="Verdana"/>
                <w:b w:val="0"/>
                <w:sz w:val="18"/>
                <w:szCs w:val="18"/>
              </w:rPr>
              <w:t xml:space="preserve"> al Sistema de Sanidad Animal (SSA), lo </w:t>
            </w:r>
            <w:r w:rsidR="00132D4D">
              <w:rPr>
                <w:rFonts w:ascii="Verdana" w:hAnsi="Verdana"/>
                <w:b w:val="0"/>
                <w:sz w:val="18"/>
                <w:szCs w:val="18"/>
              </w:rPr>
              <w:t xml:space="preserve">que </w:t>
            </w:r>
            <w:r w:rsidRPr="00A056EA">
              <w:rPr>
                <w:rFonts w:ascii="Verdana" w:hAnsi="Verdana"/>
                <w:b w:val="0"/>
                <w:sz w:val="18"/>
                <w:szCs w:val="18"/>
              </w:rPr>
              <w:t xml:space="preserve">permitió disminuir errores en el procesamiento de los datos. </w:t>
            </w:r>
          </w:p>
          <w:p w14:paraId="6E93CDEC" w14:textId="77777777" w:rsidR="00547D0E" w:rsidRPr="00A056EA" w:rsidRDefault="00547D0E" w:rsidP="00547D0E">
            <w:pPr>
              <w:jc w:val="both"/>
              <w:rPr>
                <w:rFonts w:ascii="Verdana" w:hAnsi="Verdana"/>
                <w:b w:val="0"/>
                <w:sz w:val="18"/>
                <w:szCs w:val="18"/>
              </w:rPr>
            </w:pPr>
            <w:r w:rsidRPr="00A056EA">
              <w:rPr>
                <w:rFonts w:ascii="Verdana" w:hAnsi="Verdana"/>
                <w:b w:val="0"/>
                <w:sz w:val="18"/>
                <w:szCs w:val="18"/>
              </w:rPr>
              <w:t>- Fortalecimiento del apoyo administrativo para realizar seguimiento de muestras en estado pendiente de análisis.</w:t>
            </w:r>
          </w:p>
          <w:p w14:paraId="374FB8BE" w14:textId="77777777" w:rsidR="00547D0E" w:rsidRPr="00CB18E1" w:rsidRDefault="00547D0E" w:rsidP="00547D0E">
            <w:pPr>
              <w:jc w:val="both"/>
              <w:rPr>
                <w:rFonts w:ascii="Verdana" w:hAnsi="Verdana"/>
                <w:b w:val="0"/>
                <w:sz w:val="18"/>
                <w:szCs w:val="18"/>
              </w:rPr>
            </w:pPr>
            <w:r w:rsidRPr="00A056EA">
              <w:rPr>
                <w:rFonts w:ascii="Verdana" w:hAnsi="Verdana"/>
                <w:b w:val="0"/>
                <w:sz w:val="18"/>
                <w:szCs w:val="18"/>
              </w:rPr>
              <w:t>- Fortalecimiento del sistema de turn</w:t>
            </w:r>
            <w:r>
              <w:rPr>
                <w:rFonts w:ascii="Verdana" w:hAnsi="Verdana"/>
                <w:b w:val="0"/>
                <w:sz w:val="18"/>
                <w:szCs w:val="18"/>
              </w:rPr>
              <w:t xml:space="preserve">os de recepción de muestras en </w:t>
            </w:r>
            <w:proofErr w:type="spellStart"/>
            <w:r>
              <w:rPr>
                <w:rFonts w:ascii="Verdana" w:hAnsi="Verdana"/>
                <w:b w:val="0"/>
                <w:sz w:val="18"/>
                <w:szCs w:val="18"/>
              </w:rPr>
              <w:t>S</w:t>
            </w:r>
            <w:r w:rsidRPr="00A056EA">
              <w:rPr>
                <w:rFonts w:ascii="Verdana" w:hAnsi="Verdana"/>
                <w:b w:val="0"/>
                <w:sz w:val="18"/>
                <w:szCs w:val="18"/>
              </w:rPr>
              <w:t>eroteca</w:t>
            </w:r>
            <w:proofErr w:type="spellEnd"/>
            <w:r w:rsidRPr="00A056EA">
              <w:rPr>
                <w:rFonts w:ascii="Verdana" w:hAnsi="Verdana"/>
                <w:b w:val="0"/>
                <w:sz w:val="18"/>
                <w:szCs w:val="18"/>
              </w:rPr>
              <w:t xml:space="preserve">, permitiendo que las muestras </w:t>
            </w:r>
            <w:proofErr w:type="spellStart"/>
            <w:r w:rsidRPr="00A056EA">
              <w:rPr>
                <w:rFonts w:ascii="Verdana" w:hAnsi="Verdana"/>
                <w:b w:val="0"/>
                <w:sz w:val="18"/>
                <w:szCs w:val="18"/>
              </w:rPr>
              <w:t>recepcionadas</w:t>
            </w:r>
            <w:proofErr w:type="spellEnd"/>
            <w:r w:rsidRPr="00A056EA">
              <w:rPr>
                <w:rFonts w:ascii="Verdana" w:hAnsi="Verdana"/>
                <w:b w:val="0"/>
                <w:sz w:val="18"/>
                <w:szCs w:val="18"/>
              </w:rPr>
              <w:t xml:space="preserve"> se distribuyeran en menores tiempos hacia las unidades </w:t>
            </w:r>
            <w:r w:rsidRPr="001278FF">
              <w:rPr>
                <w:rFonts w:ascii="Verdana" w:hAnsi="Verdana"/>
                <w:b w:val="0"/>
                <w:sz w:val="18"/>
                <w:szCs w:val="18"/>
              </w:rPr>
              <w:t xml:space="preserve">ejecutoras de los análisis.  </w:t>
            </w:r>
          </w:p>
          <w:p w14:paraId="086F1AFB" w14:textId="77777777" w:rsidR="00547D0E" w:rsidRDefault="00547D0E" w:rsidP="00547D0E">
            <w:pPr>
              <w:jc w:val="both"/>
              <w:rPr>
                <w:rFonts w:ascii="Verdana" w:hAnsi="Verdana"/>
                <w:b w:val="0"/>
                <w:sz w:val="18"/>
                <w:szCs w:val="18"/>
              </w:rPr>
            </w:pPr>
          </w:p>
          <w:p w14:paraId="296ACD60" w14:textId="77777777" w:rsidR="00547D0E" w:rsidRPr="00B90C28" w:rsidRDefault="00547D0E" w:rsidP="00547D0E">
            <w:pPr>
              <w:jc w:val="both"/>
              <w:rPr>
                <w:rFonts w:ascii="Verdana" w:hAnsi="Verdana"/>
                <w:b w:val="0"/>
                <w:sz w:val="18"/>
                <w:szCs w:val="18"/>
              </w:rPr>
            </w:pPr>
            <w:r w:rsidRPr="00B90C28">
              <w:rPr>
                <w:rFonts w:ascii="Verdana" w:hAnsi="Verdana"/>
                <w:b w:val="0"/>
                <w:sz w:val="18"/>
                <w:szCs w:val="18"/>
              </w:rPr>
              <w:t>Respecto de los 6.516 análisis realizados en el Laboratorio de Lo Aguirre en el 2019, 5.301</w:t>
            </w:r>
            <w:r w:rsidRPr="00B90C28">
              <w:rPr>
                <w:rFonts w:ascii="Verdana" w:hAnsi="Verdana"/>
                <w:b w:val="0"/>
                <w:color w:val="FF0000"/>
                <w:sz w:val="18"/>
                <w:szCs w:val="18"/>
              </w:rPr>
              <w:t xml:space="preserve"> </w:t>
            </w:r>
            <w:r w:rsidRPr="00B90C28">
              <w:rPr>
                <w:rFonts w:ascii="Verdana" w:hAnsi="Verdana"/>
                <w:b w:val="0"/>
                <w:sz w:val="18"/>
                <w:szCs w:val="18"/>
              </w:rPr>
              <w:t>casos han resultado no reaccionante, 1.197 casos reaccionantes y 18 casos sospechosos. Del total de los análisis efectuados</w:t>
            </w:r>
            <w:r>
              <w:rPr>
                <w:rFonts w:ascii="Verdana" w:hAnsi="Verdana"/>
                <w:b w:val="0"/>
                <w:sz w:val="18"/>
                <w:szCs w:val="18"/>
              </w:rPr>
              <w:t>,</w:t>
            </w:r>
            <w:r w:rsidRPr="00B90C28">
              <w:rPr>
                <w:rFonts w:ascii="Verdana" w:hAnsi="Verdana"/>
                <w:b w:val="0"/>
                <w:sz w:val="18"/>
                <w:szCs w:val="18"/>
              </w:rPr>
              <w:t xml:space="preserve"> el </w:t>
            </w:r>
            <w:r>
              <w:rPr>
                <w:rFonts w:ascii="Verdana" w:hAnsi="Verdana"/>
                <w:b w:val="0"/>
                <w:sz w:val="18"/>
                <w:szCs w:val="18"/>
              </w:rPr>
              <w:t>55,</w:t>
            </w:r>
            <w:r w:rsidRPr="00B90C28">
              <w:rPr>
                <w:rFonts w:ascii="Verdana" w:hAnsi="Verdana"/>
                <w:b w:val="0"/>
                <w:sz w:val="18"/>
                <w:szCs w:val="18"/>
              </w:rPr>
              <w:t xml:space="preserve">48% fue solicitado por las regiones de Valparaíso y O’Higgins y el </w:t>
            </w:r>
            <w:r>
              <w:rPr>
                <w:rFonts w:ascii="Verdana" w:hAnsi="Verdana"/>
                <w:b w:val="0"/>
                <w:sz w:val="18"/>
                <w:szCs w:val="18"/>
              </w:rPr>
              <w:t>22,</w:t>
            </w:r>
            <w:r w:rsidRPr="00B90C28">
              <w:rPr>
                <w:rFonts w:ascii="Verdana" w:hAnsi="Verdana"/>
                <w:b w:val="0"/>
                <w:sz w:val="18"/>
                <w:szCs w:val="18"/>
              </w:rPr>
              <w:t>45</w:t>
            </w:r>
            <w:r>
              <w:rPr>
                <w:rFonts w:ascii="Verdana" w:hAnsi="Verdana"/>
                <w:b w:val="0"/>
                <w:sz w:val="18"/>
                <w:szCs w:val="18"/>
              </w:rPr>
              <w:t>%</w:t>
            </w:r>
            <w:r w:rsidRPr="00B90C28">
              <w:rPr>
                <w:rFonts w:ascii="Verdana" w:hAnsi="Verdana"/>
                <w:b w:val="0"/>
                <w:sz w:val="18"/>
                <w:szCs w:val="18"/>
              </w:rPr>
              <w:t xml:space="preserve"> por las regiones de La Araucanía y Los Lagos. </w:t>
            </w:r>
          </w:p>
          <w:p w14:paraId="0155AC94" w14:textId="77777777" w:rsidR="00547D0E" w:rsidRPr="00B90C28" w:rsidRDefault="00547D0E" w:rsidP="00547D0E">
            <w:pPr>
              <w:jc w:val="both"/>
              <w:rPr>
                <w:rFonts w:ascii="Verdana" w:hAnsi="Verdana"/>
                <w:b w:val="0"/>
                <w:bCs w:val="0"/>
                <w:sz w:val="18"/>
                <w:szCs w:val="18"/>
              </w:rPr>
            </w:pPr>
          </w:p>
          <w:p w14:paraId="4ECA4EEE" w14:textId="7C4F51B1" w:rsidR="00A83752" w:rsidRPr="00547D0E" w:rsidRDefault="00547D0E" w:rsidP="00A83752">
            <w:pPr>
              <w:jc w:val="both"/>
              <w:rPr>
                <w:rFonts w:ascii="Verdana" w:hAnsi="Verdana"/>
                <w:b w:val="0"/>
                <w:bCs w:val="0"/>
                <w:sz w:val="18"/>
                <w:szCs w:val="18"/>
              </w:rPr>
            </w:pPr>
            <w:r w:rsidRPr="00B90C28">
              <w:rPr>
                <w:rFonts w:ascii="Verdana" w:hAnsi="Verdana"/>
                <w:b w:val="0"/>
                <w:sz w:val="18"/>
                <w:szCs w:val="18"/>
              </w:rPr>
              <w:t xml:space="preserve">De las 270 denuncias generadas por regiones para análisis serológicos, el mayor número proviene de la Región de Los Lagos (43), seguida por </w:t>
            </w:r>
            <w:r w:rsidR="00132D4D">
              <w:rPr>
                <w:rFonts w:ascii="Verdana" w:hAnsi="Verdana"/>
                <w:b w:val="0"/>
                <w:sz w:val="18"/>
                <w:szCs w:val="18"/>
              </w:rPr>
              <w:t>Aysén</w:t>
            </w:r>
            <w:r w:rsidR="00132D4D" w:rsidRPr="00B90C28">
              <w:rPr>
                <w:rFonts w:ascii="Verdana" w:hAnsi="Verdana"/>
                <w:b w:val="0"/>
                <w:sz w:val="18"/>
                <w:szCs w:val="18"/>
              </w:rPr>
              <w:t xml:space="preserve"> </w:t>
            </w:r>
            <w:r w:rsidRPr="00B90C28">
              <w:rPr>
                <w:rFonts w:ascii="Verdana" w:hAnsi="Verdana"/>
                <w:b w:val="0"/>
                <w:sz w:val="18"/>
                <w:szCs w:val="18"/>
              </w:rPr>
              <w:t>(34</w:t>
            </w:r>
            <w:r w:rsidR="0081147B" w:rsidRPr="0081147B">
              <w:rPr>
                <w:rFonts w:ascii="Verdana" w:hAnsi="Verdana"/>
                <w:b w:val="0"/>
                <w:sz w:val="18"/>
                <w:szCs w:val="18"/>
              </w:rPr>
              <w:t xml:space="preserve">), </w:t>
            </w:r>
            <w:r w:rsidRPr="00B90C28">
              <w:rPr>
                <w:rFonts w:ascii="Verdana" w:hAnsi="Verdana"/>
                <w:b w:val="0"/>
                <w:sz w:val="18"/>
                <w:szCs w:val="18"/>
              </w:rPr>
              <w:t>La Araucanía (31), Valparaíso (27), Bio</w:t>
            </w:r>
            <w:r w:rsidR="00132D4D">
              <w:rPr>
                <w:rFonts w:ascii="Verdana" w:hAnsi="Verdana"/>
                <w:b w:val="0"/>
                <w:sz w:val="18"/>
                <w:szCs w:val="18"/>
              </w:rPr>
              <w:t>bío</w:t>
            </w:r>
            <w:r w:rsidRPr="00B90C28">
              <w:rPr>
                <w:rFonts w:ascii="Verdana" w:hAnsi="Verdana"/>
                <w:b w:val="0"/>
                <w:sz w:val="18"/>
                <w:szCs w:val="18"/>
              </w:rPr>
              <w:t xml:space="preserve"> (26) y O’Higgins (25).</w:t>
            </w:r>
          </w:p>
          <w:p w14:paraId="4242DDE6" w14:textId="77777777" w:rsidR="00A83752" w:rsidRPr="00A056EA" w:rsidRDefault="00A83752" w:rsidP="00A83752">
            <w:pPr>
              <w:jc w:val="both"/>
              <w:rPr>
                <w:rFonts w:ascii="Verdana" w:hAnsi="Verdana"/>
                <w:b w:val="0"/>
                <w:sz w:val="18"/>
                <w:szCs w:val="18"/>
              </w:rPr>
            </w:pPr>
          </w:p>
          <w:p w14:paraId="1A4792E7" w14:textId="77777777" w:rsidR="00CB18E1" w:rsidRPr="00D72D50" w:rsidRDefault="00CB18E1" w:rsidP="00B31F66">
            <w:pPr>
              <w:jc w:val="both"/>
              <w:rPr>
                <w:rFonts w:ascii="Verdana" w:hAnsi="Verdana"/>
                <w:sz w:val="18"/>
                <w:szCs w:val="18"/>
              </w:rPr>
            </w:pPr>
          </w:p>
        </w:tc>
      </w:tr>
    </w:tbl>
    <w:p w14:paraId="6BE2FA1B" w14:textId="77777777" w:rsidR="002F3676" w:rsidRDefault="002F3676" w:rsidP="00C0357D">
      <w:pPr>
        <w:pStyle w:val="Prrafodelista"/>
        <w:jc w:val="both"/>
      </w:pPr>
    </w:p>
    <w:p w14:paraId="7DA1D34B" w14:textId="77777777" w:rsidR="002F3676" w:rsidRDefault="002F3676">
      <w:r>
        <w:br w:type="page"/>
      </w:r>
    </w:p>
    <w:p w14:paraId="4433DD41" w14:textId="77777777" w:rsidR="002B20DF" w:rsidRPr="00CB47F2" w:rsidRDefault="002F3676" w:rsidP="00D36660">
      <w:pPr>
        <w:pStyle w:val="Ttulo1"/>
        <w:numPr>
          <w:ilvl w:val="0"/>
          <w:numId w:val="8"/>
        </w:numPr>
        <w:rPr>
          <w:b/>
        </w:rPr>
      </w:pPr>
      <w:bookmarkStart w:id="29" w:name="_Toc487613146"/>
      <w:bookmarkStart w:id="30" w:name="_Toc30512082"/>
      <w:r w:rsidRPr="00CB47F2">
        <w:rPr>
          <w:b/>
        </w:rPr>
        <w:lastRenderedPageBreak/>
        <w:t>Conclusiones</w:t>
      </w:r>
      <w:bookmarkEnd w:id="29"/>
      <w:bookmarkEnd w:id="30"/>
    </w:p>
    <w:p w14:paraId="14BBEDF1" w14:textId="77777777" w:rsidR="00D84CEE" w:rsidRPr="00D84CEE" w:rsidRDefault="00D84CEE" w:rsidP="00D84CEE"/>
    <w:p w14:paraId="08A3FC8A" w14:textId="5C810805" w:rsidR="008C1E40" w:rsidRDefault="00434A43" w:rsidP="00626248">
      <w:pPr>
        <w:spacing w:after="0"/>
        <w:jc w:val="both"/>
        <w:rPr>
          <w:rFonts w:ascii="Verdana" w:hAnsi="Verdana"/>
          <w:sz w:val="20"/>
          <w:szCs w:val="20"/>
        </w:rPr>
      </w:pPr>
      <w:r>
        <w:rPr>
          <w:rFonts w:ascii="Verdana" w:hAnsi="Verdana"/>
          <w:sz w:val="20"/>
          <w:szCs w:val="20"/>
        </w:rPr>
        <w:t>Durante el 2019, e</w:t>
      </w:r>
      <w:r w:rsidR="00530341" w:rsidRPr="00EB3D3E">
        <w:rPr>
          <w:rFonts w:ascii="Verdana" w:hAnsi="Verdana"/>
          <w:sz w:val="20"/>
          <w:szCs w:val="20"/>
        </w:rPr>
        <w:t>l Servicio ha priorizado las actividades de su Plan institucional</w:t>
      </w:r>
      <w:r w:rsidR="00C663BA" w:rsidRPr="00C663BA">
        <w:rPr>
          <w:rFonts w:ascii="Verdana" w:hAnsi="Verdana"/>
          <w:sz w:val="20"/>
          <w:szCs w:val="20"/>
        </w:rPr>
        <w:t xml:space="preserve"> </w:t>
      </w:r>
      <w:r w:rsidR="00C663BA" w:rsidRPr="00EB3D3E">
        <w:rPr>
          <w:rFonts w:ascii="Verdana" w:hAnsi="Verdana"/>
          <w:sz w:val="20"/>
          <w:szCs w:val="20"/>
        </w:rPr>
        <w:t>anual</w:t>
      </w:r>
      <w:r w:rsidR="00530341" w:rsidRPr="00EB3D3E">
        <w:rPr>
          <w:rFonts w:ascii="Verdana" w:hAnsi="Verdana"/>
          <w:sz w:val="20"/>
          <w:szCs w:val="20"/>
        </w:rPr>
        <w:t xml:space="preserve">, </w:t>
      </w:r>
      <w:r w:rsidR="00543B08">
        <w:rPr>
          <w:rFonts w:ascii="Verdana" w:hAnsi="Verdana"/>
          <w:sz w:val="20"/>
          <w:szCs w:val="20"/>
        </w:rPr>
        <w:t>y</w:t>
      </w:r>
      <w:r w:rsidR="004D1A44">
        <w:rPr>
          <w:rFonts w:ascii="Verdana" w:hAnsi="Verdana"/>
          <w:sz w:val="20"/>
          <w:szCs w:val="20"/>
        </w:rPr>
        <w:t xml:space="preserve"> </w:t>
      </w:r>
      <w:r w:rsidR="002F320A">
        <w:rPr>
          <w:rFonts w:ascii="Verdana" w:hAnsi="Verdana"/>
          <w:sz w:val="20"/>
          <w:szCs w:val="20"/>
        </w:rPr>
        <w:t xml:space="preserve">gracias al </w:t>
      </w:r>
      <w:r w:rsidR="00635997">
        <w:rPr>
          <w:rFonts w:ascii="Verdana" w:hAnsi="Verdana"/>
          <w:sz w:val="20"/>
          <w:szCs w:val="20"/>
        </w:rPr>
        <w:t>compromiso y profesionalismo</w:t>
      </w:r>
      <w:r w:rsidR="002F320A">
        <w:rPr>
          <w:rFonts w:ascii="Verdana" w:hAnsi="Verdana"/>
          <w:sz w:val="20"/>
          <w:szCs w:val="20"/>
        </w:rPr>
        <w:t xml:space="preserve"> de su </w:t>
      </w:r>
      <w:r w:rsidR="00DB0012">
        <w:rPr>
          <w:rFonts w:ascii="Verdana" w:hAnsi="Verdana"/>
          <w:sz w:val="20"/>
          <w:szCs w:val="20"/>
        </w:rPr>
        <w:t xml:space="preserve">gran </w:t>
      </w:r>
      <w:r w:rsidR="002F320A">
        <w:rPr>
          <w:rFonts w:ascii="Verdana" w:hAnsi="Verdana"/>
          <w:sz w:val="20"/>
          <w:szCs w:val="20"/>
        </w:rPr>
        <w:t>equipo humano</w:t>
      </w:r>
      <w:r w:rsidR="00DB0012">
        <w:rPr>
          <w:rFonts w:ascii="Verdana" w:hAnsi="Verdana"/>
          <w:sz w:val="20"/>
          <w:szCs w:val="20"/>
        </w:rPr>
        <w:t>,</w:t>
      </w:r>
      <w:r w:rsidR="002F320A">
        <w:rPr>
          <w:rFonts w:ascii="Verdana" w:hAnsi="Verdana"/>
          <w:sz w:val="20"/>
          <w:szCs w:val="20"/>
        </w:rPr>
        <w:t xml:space="preserve"> ha logra</w:t>
      </w:r>
      <w:r w:rsidR="0007661D">
        <w:rPr>
          <w:rFonts w:ascii="Verdana" w:hAnsi="Verdana"/>
          <w:sz w:val="20"/>
          <w:szCs w:val="20"/>
        </w:rPr>
        <w:t xml:space="preserve">do </w:t>
      </w:r>
      <w:r w:rsidR="001220E7">
        <w:rPr>
          <w:rFonts w:ascii="Verdana" w:hAnsi="Verdana"/>
          <w:sz w:val="20"/>
          <w:szCs w:val="20"/>
        </w:rPr>
        <w:t>cumplir con la</w:t>
      </w:r>
      <w:r w:rsidR="00C21CEB">
        <w:rPr>
          <w:rFonts w:ascii="Verdana" w:hAnsi="Verdana"/>
          <w:sz w:val="20"/>
          <w:szCs w:val="20"/>
        </w:rPr>
        <w:t>s</w:t>
      </w:r>
      <w:r w:rsidR="001220E7">
        <w:rPr>
          <w:rFonts w:ascii="Verdana" w:hAnsi="Verdana"/>
          <w:sz w:val="20"/>
          <w:szCs w:val="20"/>
        </w:rPr>
        <w:t xml:space="preserve"> meta</w:t>
      </w:r>
      <w:r w:rsidR="0007661D">
        <w:rPr>
          <w:rFonts w:ascii="Verdana" w:hAnsi="Verdana"/>
          <w:sz w:val="20"/>
          <w:szCs w:val="20"/>
        </w:rPr>
        <w:t>s</w:t>
      </w:r>
      <w:r w:rsidR="001220E7">
        <w:rPr>
          <w:rFonts w:ascii="Verdana" w:hAnsi="Verdana"/>
          <w:sz w:val="20"/>
          <w:szCs w:val="20"/>
        </w:rPr>
        <w:t xml:space="preserve"> comprometida</w:t>
      </w:r>
      <w:r w:rsidR="00DB0012">
        <w:rPr>
          <w:rFonts w:ascii="Verdana" w:hAnsi="Verdana"/>
          <w:sz w:val="20"/>
          <w:szCs w:val="20"/>
        </w:rPr>
        <w:t>s</w:t>
      </w:r>
      <w:r w:rsidR="001220E7">
        <w:rPr>
          <w:rFonts w:ascii="Verdana" w:hAnsi="Verdana"/>
          <w:sz w:val="20"/>
          <w:szCs w:val="20"/>
        </w:rPr>
        <w:t xml:space="preserve"> para lo</w:t>
      </w:r>
      <w:r w:rsidR="00892D4A">
        <w:rPr>
          <w:rFonts w:ascii="Verdana" w:hAnsi="Verdana"/>
          <w:sz w:val="20"/>
          <w:szCs w:val="20"/>
        </w:rPr>
        <w:t>s 12</w:t>
      </w:r>
      <w:r w:rsidR="00C663BA">
        <w:rPr>
          <w:rFonts w:ascii="Verdana" w:hAnsi="Verdana"/>
          <w:sz w:val="20"/>
          <w:szCs w:val="20"/>
        </w:rPr>
        <w:t xml:space="preserve"> </w:t>
      </w:r>
      <w:r w:rsidR="009A0174">
        <w:rPr>
          <w:rFonts w:ascii="Verdana" w:hAnsi="Verdana"/>
          <w:sz w:val="20"/>
          <w:szCs w:val="20"/>
        </w:rPr>
        <w:t>indic</w:t>
      </w:r>
      <w:r w:rsidR="00DB2F85">
        <w:rPr>
          <w:rFonts w:ascii="Verdana" w:hAnsi="Verdana"/>
          <w:sz w:val="20"/>
          <w:szCs w:val="20"/>
        </w:rPr>
        <w:t>adores</w:t>
      </w:r>
      <w:r w:rsidR="00655C12">
        <w:rPr>
          <w:rFonts w:ascii="Verdana" w:hAnsi="Verdana"/>
          <w:sz w:val="20"/>
          <w:szCs w:val="20"/>
        </w:rPr>
        <w:t xml:space="preserve"> que componen en Plan, en sus 4 líneas de acción:</w:t>
      </w:r>
    </w:p>
    <w:p w14:paraId="161BE046" w14:textId="77777777" w:rsidR="00655C12" w:rsidRDefault="00655C12" w:rsidP="00626248">
      <w:pPr>
        <w:spacing w:after="0"/>
        <w:jc w:val="both"/>
        <w:rPr>
          <w:rFonts w:ascii="Verdana" w:hAnsi="Verdana"/>
          <w:sz w:val="20"/>
          <w:szCs w:val="20"/>
        </w:rPr>
      </w:pPr>
    </w:p>
    <w:p w14:paraId="4677A25D" w14:textId="77777777" w:rsidR="00655C12" w:rsidRDefault="00655C12" w:rsidP="00655C12">
      <w:pPr>
        <w:pStyle w:val="Prrafodelista"/>
        <w:numPr>
          <w:ilvl w:val="0"/>
          <w:numId w:val="22"/>
        </w:numPr>
        <w:spacing w:after="0"/>
        <w:jc w:val="both"/>
        <w:rPr>
          <w:rFonts w:ascii="Verdana" w:hAnsi="Verdana"/>
          <w:sz w:val="20"/>
          <w:szCs w:val="20"/>
        </w:rPr>
      </w:pPr>
      <w:r w:rsidRPr="00655C12">
        <w:rPr>
          <w:rFonts w:ascii="Verdana" w:hAnsi="Verdana"/>
          <w:sz w:val="20"/>
          <w:szCs w:val="20"/>
        </w:rPr>
        <w:t xml:space="preserve">Fortalecimiento de la protección del patrimonio </w:t>
      </w:r>
      <w:proofErr w:type="spellStart"/>
      <w:r w:rsidRPr="00655C12">
        <w:rPr>
          <w:rFonts w:ascii="Verdana" w:hAnsi="Verdana"/>
          <w:sz w:val="20"/>
          <w:szCs w:val="20"/>
        </w:rPr>
        <w:t>fito</w:t>
      </w:r>
      <w:proofErr w:type="spellEnd"/>
      <w:r w:rsidRPr="00655C12">
        <w:rPr>
          <w:rFonts w:ascii="Verdana" w:hAnsi="Verdana"/>
          <w:sz w:val="20"/>
          <w:szCs w:val="20"/>
        </w:rPr>
        <w:t xml:space="preserve"> y zoosanitario, y recursos naturales renovables.</w:t>
      </w:r>
    </w:p>
    <w:p w14:paraId="769CA7D1" w14:textId="77777777" w:rsidR="00655C12" w:rsidRDefault="00655C12" w:rsidP="0095216D">
      <w:pPr>
        <w:pStyle w:val="Prrafodelista"/>
        <w:numPr>
          <w:ilvl w:val="1"/>
          <w:numId w:val="22"/>
        </w:numPr>
        <w:spacing w:after="0"/>
        <w:ind w:left="709" w:hanging="283"/>
        <w:jc w:val="both"/>
        <w:rPr>
          <w:rFonts w:ascii="Verdana" w:hAnsi="Verdana"/>
          <w:sz w:val="20"/>
          <w:szCs w:val="20"/>
        </w:rPr>
      </w:pPr>
      <w:r>
        <w:rPr>
          <w:rFonts w:ascii="Verdana" w:hAnsi="Verdana"/>
          <w:sz w:val="20"/>
          <w:szCs w:val="20"/>
        </w:rPr>
        <w:t xml:space="preserve">Bonificando 63.231 hectáreas en el </w:t>
      </w:r>
      <w:r w:rsidRPr="00655C12">
        <w:rPr>
          <w:rFonts w:ascii="Verdana" w:hAnsi="Verdana"/>
          <w:sz w:val="20"/>
          <w:szCs w:val="20"/>
        </w:rPr>
        <w:t>Sistema de Incentivos para la Sustentabilidad Agroambiental de los Suelos Agropecuarios</w:t>
      </w:r>
      <w:r>
        <w:rPr>
          <w:rFonts w:ascii="Verdana" w:hAnsi="Verdana"/>
          <w:sz w:val="20"/>
          <w:szCs w:val="20"/>
        </w:rPr>
        <w:t xml:space="preserve">, </w:t>
      </w:r>
      <w:r w:rsidR="00DB0012" w:rsidRPr="00861126">
        <w:rPr>
          <w:rFonts w:ascii="Verdana" w:hAnsi="Verdana"/>
          <w:sz w:val="18"/>
          <w:szCs w:val="18"/>
        </w:rPr>
        <w:t>4.403 hectáreas por sobre lo proyectado</w:t>
      </w:r>
      <w:r w:rsidR="00DB0012">
        <w:rPr>
          <w:rFonts w:ascii="Verdana" w:hAnsi="Verdana"/>
          <w:sz w:val="18"/>
          <w:szCs w:val="18"/>
        </w:rPr>
        <w:t xml:space="preserve">, </w:t>
      </w:r>
      <w:r>
        <w:rPr>
          <w:rFonts w:ascii="Verdana" w:hAnsi="Verdana"/>
          <w:sz w:val="20"/>
          <w:szCs w:val="20"/>
        </w:rPr>
        <w:t>permitiendo beneficiar a 1</w:t>
      </w:r>
      <w:r w:rsidR="00DB0012">
        <w:rPr>
          <w:rFonts w:ascii="Verdana" w:hAnsi="Verdana"/>
          <w:sz w:val="20"/>
          <w:szCs w:val="20"/>
        </w:rPr>
        <w:t>.</w:t>
      </w:r>
      <w:r>
        <w:rPr>
          <w:rFonts w:ascii="Verdana" w:hAnsi="Verdana"/>
          <w:sz w:val="20"/>
          <w:szCs w:val="20"/>
        </w:rPr>
        <w:t>891 usuarios/as a nivel nacional con un monto boni</w:t>
      </w:r>
      <w:r w:rsidR="00744712">
        <w:rPr>
          <w:rFonts w:ascii="Verdana" w:hAnsi="Verdana"/>
          <w:sz w:val="20"/>
          <w:szCs w:val="20"/>
        </w:rPr>
        <w:t>fi</w:t>
      </w:r>
      <w:r>
        <w:rPr>
          <w:rFonts w:ascii="Verdana" w:hAnsi="Verdana"/>
          <w:sz w:val="20"/>
          <w:szCs w:val="20"/>
        </w:rPr>
        <w:t>cado de MM$7.988</w:t>
      </w:r>
      <w:r w:rsidR="00DB0012">
        <w:rPr>
          <w:rFonts w:ascii="Verdana" w:hAnsi="Verdana"/>
          <w:sz w:val="20"/>
          <w:szCs w:val="20"/>
        </w:rPr>
        <w:t>.</w:t>
      </w:r>
    </w:p>
    <w:p w14:paraId="72DEFB8D" w14:textId="77777777" w:rsidR="00655C12" w:rsidRDefault="00655C12" w:rsidP="0095216D">
      <w:pPr>
        <w:pStyle w:val="Prrafodelista"/>
        <w:numPr>
          <w:ilvl w:val="1"/>
          <w:numId w:val="22"/>
        </w:numPr>
        <w:spacing w:after="0"/>
        <w:ind w:left="709" w:hanging="283"/>
        <w:jc w:val="both"/>
        <w:rPr>
          <w:rFonts w:ascii="Verdana" w:hAnsi="Verdana"/>
          <w:sz w:val="20"/>
          <w:szCs w:val="20"/>
        </w:rPr>
      </w:pPr>
      <w:r w:rsidRPr="00655C12">
        <w:rPr>
          <w:rFonts w:ascii="Verdana" w:hAnsi="Verdana"/>
          <w:sz w:val="20"/>
          <w:szCs w:val="20"/>
        </w:rPr>
        <w:t>Inspeccionando obligatoria y específica</w:t>
      </w:r>
      <w:r>
        <w:rPr>
          <w:rFonts w:ascii="Verdana" w:hAnsi="Verdana"/>
          <w:sz w:val="20"/>
          <w:szCs w:val="20"/>
        </w:rPr>
        <w:t>mente a</w:t>
      </w:r>
      <w:r w:rsidRPr="00655C12">
        <w:rPr>
          <w:rFonts w:ascii="Verdana" w:hAnsi="Verdana"/>
          <w:sz w:val="20"/>
          <w:szCs w:val="20"/>
        </w:rPr>
        <w:t xml:space="preserve"> 143 naves de riesgo </w:t>
      </w:r>
      <w:r w:rsidR="00783628">
        <w:rPr>
          <w:rFonts w:ascii="Verdana" w:hAnsi="Verdana"/>
          <w:sz w:val="20"/>
          <w:szCs w:val="20"/>
        </w:rPr>
        <w:t>para la detección de Polilla Gitana Raza A</w:t>
      </w:r>
      <w:r w:rsidRPr="00655C12">
        <w:rPr>
          <w:rFonts w:ascii="Verdana" w:hAnsi="Verdana"/>
          <w:sz w:val="20"/>
          <w:szCs w:val="20"/>
        </w:rPr>
        <w:t xml:space="preserve">siática </w:t>
      </w:r>
      <w:r>
        <w:rPr>
          <w:rFonts w:ascii="Verdana" w:hAnsi="Verdana"/>
          <w:sz w:val="20"/>
          <w:szCs w:val="20"/>
        </w:rPr>
        <w:t xml:space="preserve">(PGRA) </w:t>
      </w:r>
      <w:r w:rsidRPr="00655C12">
        <w:rPr>
          <w:rFonts w:ascii="Verdana" w:hAnsi="Verdana"/>
          <w:sz w:val="20"/>
          <w:szCs w:val="20"/>
        </w:rPr>
        <w:t>en puertos nacionales.</w:t>
      </w:r>
    </w:p>
    <w:p w14:paraId="6F654F86" w14:textId="77777777" w:rsidR="00655C12" w:rsidRDefault="00655C12" w:rsidP="0095216D">
      <w:pPr>
        <w:pStyle w:val="Prrafodelista"/>
        <w:numPr>
          <w:ilvl w:val="1"/>
          <w:numId w:val="22"/>
        </w:numPr>
        <w:spacing w:after="0"/>
        <w:ind w:left="709" w:hanging="283"/>
        <w:jc w:val="both"/>
        <w:rPr>
          <w:rFonts w:ascii="Verdana" w:hAnsi="Verdana"/>
          <w:sz w:val="20"/>
          <w:szCs w:val="20"/>
        </w:rPr>
      </w:pPr>
      <w:r>
        <w:rPr>
          <w:rFonts w:ascii="Verdana" w:hAnsi="Verdana"/>
          <w:sz w:val="20"/>
          <w:szCs w:val="20"/>
        </w:rPr>
        <w:t>Manteniendo a Chile libre de 16 enfermeda</w:t>
      </w:r>
      <w:r w:rsidR="00DB0012">
        <w:rPr>
          <w:rFonts w:ascii="Verdana" w:hAnsi="Verdana"/>
          <w:sz w:val="20"/>
          <w:szCs w:val="20"/>
        </w:rPr>
        <w:t>des de importancia zoosanitaria, al igual que en 2018.</w:t>
      </w:r>
    </w:p>
    <w:p w14:paraId="1CA8B8E6" w14:textId="77777777" w:rsidR="00212CFC" w:rsidRDefault="00655C12" w:rsidP="0095216D">
      <w:pPr>
        <w:pStyle w:val="Prrafodelista"/>
        <w:numPr>
          <w:ilvl w:val="1"/>
          <w:numId w:val="22"/>
        </w:numPr>
        <w:spacing w:after="0"/>
        <w:ind w:left="709" w:hanging="283"/>
        <w:jc w:val="both"/>
        <w:rPr>
          <w:rFonts w:ascii="Verdana" w:hAnsi="Verdana"/>
          <w:sz w:val="20"/>
          <w:szCs w:val="20"/>
        </w:rPr>
      </w:pPr>
      <w:r>
        <w:rPr>
          <w:rFonts w:ascii="Verdana" w:hAnsi="Verdana"/>
          <w:sz w:val="20"/>
          <w:szCs w:val="20"/>
        </w:rPr>
        <w:t xml:space="preserve">Implementando Planes de Acción Inmediata </w:t>
      </w:r>
      <w:r w:rsidR="00212CFC">
        <w:rPr>
          <w:rFonts w:ascii="Verdana" w:hAnsi="Verdana"/>
          <w:sz w:val="20"/>
          <w:szCs w:val="20"/>
        </w:rPr>
        <w:t xml:space="preserve">en un plazo máximo de 4 días </w:t>
      </w:r>
      <w:r w:rsidR="00783628">
        <w:rPr>
          <w:rFonts w:ascii="Verdana" w:hAnsi="Verdana"/>
          <w:sz w:val="20"/>
          <w:szCs w:val="20"/>
        </w:rPr>
        <w:t>para</w:t>
      </w:r>
      <w:r>
        <w:rPr>
          <w:rFonts w:ascii="Verdana" w:hAnsi="Verdana"/>
          <w:sz w:val="20"/>
          <w:szCs w:val="20"/>
        </w:rPr>
        <w:t xml:space="preserve"> las 2</w:t>
      </w:r>
      <w:r w:rsidR="00DB0012">
        <w:rPr>
          <w:rFonts w:ascii="Verdana" w:hAnsi="Verdana"/>
          <w:sz w:val="20"/>
          <w:szCs w:val="20"/>
        </w:rPr>
        <w:t>2</w:t>
      </w:r>
      <w:r>
        <w:rPr>
          <w:rFonts w:ascii="Verdana" w:hAnsi="Verdana"/>
          <w:sz w:val="20"/>
          <w:szCs w:val="20"/>
        </w:rPr>
        <w:t xml:space="preserve"> </w:t>
      </w:r>
      <w:r w:rsidRPr="00655C12">
        <w:rPr>
          <w:rFonts w:ascii="Verdana" w:hAnsi="Verdana"/>
          <w:sz w:val="20"/>
          <w:szCs w:val="20"/>
        </w:rPr>
        <w:t xml:space="preserve">detecciones de </w:t>
      </w:r>
      <w:proofErr w:type="spellStart"/>
      <w:r w:rsidRPr="00783628">
        <w:rPr>
          <w:rFonts w:ascii="Verdana" w:hAnsi="Verdana"/>
          <w:i/>
          <w:sz w:val="20"/>
          <w:szCs w:val="20"/>
        </w:rPr>
        <w:t>Lobesia</w:t>
      </w:r>
      <w:proofErr w:type="spellEnd"/>
      <w:r w:rsidRPr="00783628">
        <w:rPr>
          <w:rFonts w:ascii="Verdana" w:hAnsi="Verdana"/>
          <w:i/>
          <w:sz w:val="20"/>
          <w:szCs w:val="20"/>
        </w:rPr>
        <w:t xml:space="preserve"> </w:t>
      </w:r>
      <w:proofErr w:type="spellStart"/>
      <w:r w:rsidRPr="00783628">
        <w:rPr>
          <w:rFonts w:ascii="Verdana" w:hAnsi="Verdana"/>
          <w:i/>
          <w:sz w:val="20"/>
          <w:szCs w:val="20"/>
        </w:rPr>
        <w:t>Botrana</w:t>
      </w:r>
      <w:proofErr w:type="spellEnd"/>
      <w:r w:rsidRPr="00655C12">
        <w:rPr>
          <w:rFonts w:ascii="Verdana" w:hAnsi="Verdana"/>
          <w:sz w:val="20"/>
          <w:szCs w:val="20"/>
        </w:rPr>
        <w:t xml:space="preserve"> </w:t>
      </w:r>
      <w:r w:rsidR="00DB0012">
        <w:rPr>
          <w:rFonts w:ascii="Verdana" w:hAnsi="Verdana"/>
          <w:sz w:val="20"/>
          <w:szCs w:val="20"/>
        </w:rPr>
        <w:t xml:space="preserve">registradas </w:t>
      </w:r>
      <w:r w:rsidRPr="00655C12">
        <w:rPr>
          <w:rFonts w:ascii="Verdana" w:hAnsi="Verdana"/>
          <w:sz w:val="20"/>
          <w:szCs w:val="20"/>
        </w:rPr>
        <w:t xml:space="preserve">en predios de vid en el </w:t>
      </w:r>
      <w:r w:rsidR="00212CFC" w:rsidRPr="00655C12">
        <w:rPr>
          <w:rFonts w:ascii="Verdana" w:hAnsi="Verdana"/>
          <w:sz w:val="20"/>
          <w:szCs w:val="20"/>
        </w:rPr>
        <w:t>área</w:t>
      </w:r>
      <w:r w:rsidR="00DB0012">
        <w:rPr>
          <w:rFonts w:ascii="Verdana" w:hAnsi="Verdana"/>
          <w:sz w:val="20"/>
          <w:szCs w:val="20"/>
        </w:rPr>
        <w:t xml:space="preserve"> libre, entre las regiones de Coquimbo y Biobío.</w:t>
      </w:r>
    </w:p>
    <w:p w14:paraId="0FCA14B7" w14:textId="77777777" w:rsidR="00212CFC" w:rsidRDefault="00212CFC" w:rsidP="0095216D">
      <w:pPr>
        <w:pStyle w:val="Prrafodelista"/>
        <w:numPr>
          <w:ilvl w:val="1"/>
          <w:numId w:val="22"/>
        </w:numPr>
        <w:spacing w:after="0"/>
        <w:ind w:left="709" w:hanging="283"/>
        <w:jc w:val="both"/>
        <w:rPr>
          <w:rFonts w:ascii="Verdana" w:hAnsi="Verdana"/>
          <w:sz w:val="20"/>
          <w:szCs w:val="20"/>
        </w:rPr>
      </w:pPr>
      <w:r>
        <w:rPr>
          <w:rFonts w:ascii="Verdana" w:hAnsi="Verdana"/>
          <w:sz w:val="20"/>
          <w:szCs w:val="20"/>
        </w:rPr>
        <w:t xml:space="preserve">Muestreando 363 predios bovinos para </w:t>
      </w:r>
      <w:r w:rsidRPr="00212CFC">
        <w:rPr>
          <w:rFonts w:ascii="Verdana" w:hAnsi="Verdana"/>
          <w:sz w:val="20"/>
          <w:szCs w:val="20"/>
        </w:rPr>
        <w:t>vigilancia de Brucelosis bovina</w:t>
      </w:r>
      <w:r>
        <w:rPr>
          <w:rFonts w:ascii="Verdana" w:hAnsi="Verdana"/>
          <w:sz w:val="20"/>
          <w:szCs w:val="20"/>
        </w:rPr>
        <w:t xml:space="preserve"> </w:t>
      </w:r>
      <w:r w:rsidR="004D1A44">
        <w:rPr>
          <w:rFonts w:ascii="Verdana" w:hAnsi="Verdana"/>
          <w:sz w:val="20"/>
          <w:szCs w:val="20"/>
        </w:rPr>
        <w:t xml:space="preserve">(66 más de lo programado) </w:t>
      </w:r>
      <w:r>
        <w:rPr>
          <w:rFonts w:ascii="Verdana" w:hAnsi="Verdana"/>
          <w:sz w:val="20"/>
          <w:szCs w:val="20"/>
        </w:rPr>
        <w:t xml:space="preserve">entre </w:t>
      </w:r>
      <w:r w:rsidR="00132D4D">
        <w:rPr>
          <w:rFonts w:ascii="Verdana" w:hAnsi="Verdana"/>
          <w:sz w:val="20"/>
          <w:szCs w:val="20"/>
        </w:rPr>
        <w:t xml:space="preserve">las regiones de </w:t>
      </w:r>
      <w:r>
        <w:rPr>
          <w:rFonts w:ascii="Verdana" w:hAnsi="Verdana"/>
          <w:sz w:val="20"/>
          <w:szCs w:val="20"/>
        </w:rPr>
        <w:t xml:space="preserve">Arica y </w:t>
      </w:r>
      <w:r w:rsidR="004D1A44">
        <w:rPr>
          <w:rFonts w:ascii="Verdana" w:hAnsi="Verdana"/>
          <w:sz w:val="20"/>
          <w:szCs w:val="20"/>
        </w:rPr>
        <w:t xml:space="preserve">Parinacota y </w:t>
      </w:r>
      <w:r>
        <w:rPr>
          <w:rFonts w:ascii="Verdana" w:hAnsi="Verdana"/>
          <w:sz w:val="20"/>
          <w:szCs w:val="20"/>
        </w:rPr>
        <w:t>Coquimbo.</w:t>
      </w:r>
    </w:p>
    <w:p w14:paraId="56897D0E" w14:textId="77777777" w:rsidR="00212CFC" w:rsidRPr="00212CFC" w:rsidRDefault="00945EBB" w:rsidP="0095216D">
      <w:pPr>
        <w:pStyle w:val="Prrafodelista"/>
        <w:numPr>
          <w:ilvl w:val="1"/>
          <w:numId w:val="22"/>
        </w:numPr>
        <w:spacing w:after="0"/>
        <w:ind w:left="709" w:hanging="283"/>
        <w:jc w:val="both"/>
        <w:rPr>
          <w:rFonts w:ascii="Verdana" w:hAnsi="Verdana"/>
          <w:sz w:val="20"/>
          <w:szCs w:val="20"/>
        </w:rPr>
      </w:pPr>
      <w:r>
        <w:rPr>
          <w:rFonts w:ascii="Verdana" w:hAnsi="Verdana"/>
          <w:sz w:val="20"/>
          <w:szCs w:val="20"/>
        </w:rPr>
        <w:t>Erradicando 26 eventos de Moscas de la fruta dete</w:t>
      </w:r>
      <w:r w:rsidR="004D1A44">
        <w:rPr>
          <w:rFonts w:ascii="Verdana" w:hAnsi="Verdana"/>
          <w:sz w:val="20"/>
          <w:szCs w:val="20"/>
        </w:rPr>
        <w:t>ctados de importancia económica, detectados en las Regiones de Arica y Parinacota, Tarapacá, Antofagasta, Valparaíso</w:t>
      </w:r>
      <w:r w:rsidR="004D1A44" w:rsidRPr="004D1A44">
        <w:rPr>
          <w:rFonts w:ascii="Verdana" w:hAnsi="Verdana"/>
          <w:sz w:val="20"/>
          <w:szCs w:val="20"/>
        </w:rPr>
        <w:t>, Metropo</w:t>
      </w:r>
      <w:r w:rsidR="004D1A44">
        <w:rPr>
          <w:rFonts w:ascii="Verdana" w:hAnsi="Verdana"/>
          <w:sz w:val="20"/>
          <w:szCs w:val="20"/>
        </w:rPr>
        <w:t>litana y Los Ríos.</w:t>
      </w:r>
    </w:p>
    <w:p w14:paraId="738F7459" w14:textId="77777777" w:rsidR="00655C12" w:rsidRPr="00655C12" w:rsidRDefault="00655C12" w:rsidP="00655C12">
      <w:pPr>
        <w:pStyle w:val="Prrafodelista"/>
        <w:spacing w:after="0"/>
        <w:ind w:left="1440"/>
        <w:jc w:val="both"/>
        <w:rPr>
          <w:rFonts w:ascii="Verdana" w:hAnsi="Verdana"/>
          <w:sz w:val="20"/>
          <w:szCs w:val="20"/>
        </w:rPr>
      </w:pPr>
    </w:p>
    <w:p w14:paraId="616F7A9C" w14:textId="77777777" w:rsidR="00655C12" w:rsidRDefault="00655C12" w:rsidP="00655C12">
      <w:pPr>
        <w:pStyle w:val="Prrafodelista"/>
        <w:numPr>
          <w:ilvl w:val="0"/>
          <w:numId w:val="22"/>
        </w:numPr>
        <w:spacing w:after="0"/>
        <w:jc w:val="both"/>
        <w:rPr>
          <w:rFonts w:ascii="Verdana" w:hAnsi="Verdana"/>
          <w:sz w:val="20"/>
          <w:szCs w:val="20"/>
        </w:rPr>
      </w:pPr>
      <w:r w:rsidRPr="00655C12">
        <w:rPr>
          <w:rFonts w:ascii="Verdana" w:hAnsi="Verdana"/>
          <w:sz w:val="20"/>
          <w:szCs w:val="20"/>
        </w:rPr>
        <w:t>Fortalecimiento del rol fiscalizador del SAG.</w:t>
      </w:r>
    </w:p>
    <w:p w14:paraId="0CBF8B51" w14:textId="77777777" w:rsidR="00945EBB" w:rsidRDefault="00945EBB" w:rsidP="0095216D">
      <w:pPr>
        <w:pStyle w:val="Prrafodelista"/>
        <w:numPr>
          <w:ilvl w:val="1"/>
          <w:numId w:val="22"/>
        </w:numPr>
        <w:spacing w:after="0"/>
        <w:ind w:left="709" w:hanging="283"/>
        <w:jc w:val="both"/>
        <w:rPr>
          <w:rFonts w:ascii="Verdana" w:hAnsi="Verdana"/>
          <w:sz w:val="20"/>
          <w:szCs w:val="20"/>
        </w:rPr>
      </w:pPr>
      <w:r>
        <w:rPr>
          <w:rFonts w:ascii="Verdana" w:hAnsi="Verdana"/>
          <w:sz w:val="20"/>
          <w:szCs w:val="20"/>
        </w:rPr>
        <w:t xml:space="preserve">Realizando 27.089 fiscalizaciones </w:t>
      </w:r>
      <w:r w:rsidRPr="00945EBB">
        <w:rPr>
          <w:rFonts w:ascii="Verdana" w:hAnsi="Verdana"/>
          <w:sz w:val="20"/>
          <w:szCs w:val="20"/>
        </w:rPr>
        <w:t>a 13 normativas de competencia del SAG</w:t>
      </w:r>
      <w:r w:rsidR="004D1A44">
        <w:rPr>
          <w:rFonts w:ascii="Verdana" w:hAnsi="Verdana"/>
          <w:sz w:val="20"/>
          <w:szCs w:val="20"/>
        </w:rPr>
        <w:t xml:space="preserve"> (578 fiscalizaciones sobre las programadas)</w:t>
      </w:r>
      <w:r w:rsidRPr="00945EBB">
        <w:rPr>
          <w:rFonts w:ascii="Verdana" w:hAnsi="Verdana"/>
          <w:sz w:val="20"/>
          <w:szCs w:val="20"/>
        </w:rPr>
        <w:t>, incluidas en el Sistema de Gest</w:t>
      </w:r>
      <w:r>
        <w:rPr>
          <w:rFonts w:ascii="Verdana" w:hAnsi="Verdana"/>
          <w:sz w:val="20"/>
          <w:szCs w:val="20"/>
        </w:rPr>
        <w:t>ión de la Calidad institucional</w:t>
      </w:r>
      <w:r w:rsidR="004D1A44">
        <w:rPr>
          <w:rFonts w:ascii="Verdana" w:hAnsi="Verdana"/>
          <w:sz w:val="20"/>
          <w:szCs w:val="20"/>
        </w:rPr>
        <w:t>, de las cuales se evidencia un 92,9% de cumplimiento normativo.</w:t>
      </w:r>
    </w:p>
    <w:p w14:paraId="2B505155" w14:textId="77777777" w:rsidR="00945EBB" w:rsidRPr="00655C12" w:rsidRDefault="00945EBB" w:rsidP="00945EBB">
      <w:pPr>
        <w:pStyle w:val="Prrafodelista"/>
        <w:spacing w:after="0"/>
        <w:ind w:left="1440"/>
        <w:jc w:val="both"/>
        <w:rPr>
          <w:rFonts w:ascii="Verdana" w:hAnsi="Verdana"/>
          <w:sz w:val="20"/>
          <w:szCs w:val="20"/>
        </w:rPr>
      </w:pPr>
    </w:p>
    <w:p w14:paraId="434CF87B" w14:textId="77777777" w:rsidR="00655C12" w:rsidRDefault="00655C12" w:rsidP="00655C12">
      <w:pPr>
        <w:pStyle w:val="Prrafodelista"/>
        <w:numPr>
          <w:ilvl w:val="0"/>
          <w:numId w:val="22"/>
        </w:numPr>
        <w:spacing w:after="0"/>
        <w:jc w:val="both"/>
        <w:rPr>
          <w:rFonts w:ascii="Verdana" w:hAnsi="Verdana"/>
          <w:sz w:val="20"/>
          <w:szCs w:val="20"/>
        </w:rPr>
      </w:pPr>
      <w:r w:rsidRPr="00655C12">
        <w:rPr>
          <w:rFonts w:ascii="Verdana" w:hAnsi="Verdana"/>
          <w:sz w:val="20"/>
          <w:szCs w:val="20"/>
        </w:rPr>
        <w:t>SAG facilitador y garante del comercio exterior.</w:t>
      </w:r>
    </w:p>
    <w:p w14:paraId="7AE54EE9" w14:textId="77777777" w:rsidR="00945EBB" w:rsidRDefault="004D1A44" w:rsidP="0095216D">
      <w:pPr>
        <w:pStyle w:val="Prrafodelista"/>
        <w:numPr>
          <w:ilvl w:val="1"/>
          <w:numId w:val="22"/>
        </w:numPr>
        <w:spacing w:after="0"/>
        <w:ind w:left="709" w:hanging="283"/>
        <w:jc w:val="both"/>
        <w:rPr>
          <w:rFonts w:ascii="Verdana" w:hAnsi="Verdana"/>
          <w:sz w:val="20"/>
          <w:szCs w:val="20"/>
        </w:rPr>
      </w:pPr>
      <w:r>
        <w:rPr>
          <w:rFonts w:ascii="Verdana" w:hAnsi="Verdana"/>
          <w:sz w:val="20"/>
          <w:szCs w:val="20"/>
        </w:rPr>
        <w:t xml:space="preserve">Reduciendo el porcentaje de reemisión de certificados </w:t>
      </w:r>
      <w:proofErr w:type="spellStart"/>
      <w:r>
        <w:rPr>
          <w:rFonts w:ascii="Verdana" w:hAnsi="Verdana"/>
          <w:sz w:val="20"/>
          <w:szCs w:val="20"/>
        </w:rPr>
        <w:t>fito</w:t>
      </w:r>
      <w:proofErr w:type="spellEnd"/>
      <w:r>
        <w:rPr>
          <w:rFonts w:ascii="Verdana" w:hAnsi="Verdana"/>
          <w:sz w:val="20"/>
          <w:szCs w:val="20"/>
        </w:rPr>
        <w:t xml:space="preserve"> y zoosanitarios por causa SAG a un 0,17%, dentro de un total nacional de </w:t>
      </w:r>
      <w:r w:rsidR="00945EBB">
        <w:rPr>
          <w:rFonts w:ascii="Verdana" w:hAnsi="Verdana"/>
          <w:sz w:val="20"/>
          <w:szCs w:val="20"/>
        </w:rPr>
        <w:t xml:space="preserve">255.504 </w:t>
      </w:r>
      <w:r w:rsidR="00945EBB" w:rsidRPr="00F461E8">
        <w:rPr>
          <w:rFonts w:ascii="Verdana" w:hAnsi="Verdana"/>
          <w:sz w:val="18"/>
          <w:szCs w:val="18"/>
        </w:rPr>
        <w:t xml:space="preserve">certificados </w:t>
      </w:r>
      <w:r>
        <w:rPr>
          <w:rFonts w:ascii="Verdana" w:hAnsi="Verdana"/>
          <w:sz w:val="20"/>
          <w:szCs w:val="20"/>
        </w:rPr>
        <w:t>emitidos en 2019.</w:t>
      </w:r>
    </w:p>
    <w:p w14:paraId="4A1144BE" w14:textId="77777777" w:rsidR="00655C12" w:rsidRPr="00655C12" w:rsidRDefault="00655C12" w:rsidP="00655C12">
      <w:pPr>
        <w:pStyle w:val="Prrafodelista"/>
        <w:spacing w:after="0"/>
        <w:jc w:val="both"/>
        <w:rPr>
          <w:rFonts w:ascii="Verdana" w:hAnsi="Verdana"/>
          <w:sz w:val="20"/>
          <w:szCs w:val="20"/>
        </w:rPr>
      </w:pPr>
    </w:p>
    <w:p w14:paraId="13870FDB" w14:textId="77777777" w:rsidR="00655C12" w:rsidRPr="00655C12" w:rsidRDefault="00655C12" w:rsidP="00655C12">
      <w:pPr>
        <w:pStyle w:val="Prrafodelista"/>
        <w:numPr>
          <w:ilvl w:val="0"/>
          <w:numId w:val="22"/>
        </w:numPr>
        <w:spacing w:after="0"/>
        <w:jc w:val="both"/>
        <w:rPr>
          <w:rFonts w:ascii="Verdana" w:hAnsi="Verdana"/>
          <w:sz w:val="20"/>
          <w:szCs w:val="20"/>
        </w:rPr>
      </w:pPr>
      <w:r w:rsidRPr="00655C12">
        <w:rPr>
          <w:rFonts w:ascii="Verdana" w:hAnsi="Verdana"/>
          <w:sz w:val="20"/>
          <w:szCs w:val="20"/>
        </w:rPr>
        <w:t>Personas comprometidas con la excelencia operacional.</w:t>
      </w:r>
    </w:p>
    <w:p w14:paraId="3F780E70" w14:textId="77777777" w:rsidR="00655C12" w:rsidRDefault="00945EBB" w:rsidP="0095216D">
      <w:pPr>
        <w:pStyle w:val="Prrafodelista"/>
        <w:numPr>
          <w:ilvl w:val="1"/>
          <w:numId w:val="22"/>
        </w:numPr>
        <w:spacing w:after="0"/>
        <w:ind w:left="709" w:hanging="283"/>
        <w:jc w:val="both"/>
        <w:rPr>
          <w:rFonts w:ascii="Verdana" w:hAnsi="Verdana"/>
          <w:sz w:val="20"/>
          <w:szCs w:val="20"/>
        </w:rPr>
      </w:pPr>
      <w:r w:rsidRPr="00945EBB">
        <w:rPr>
          <w:rFonts w:ascii="Verdana" w:hAnsi="Verdana"/>
          <w:sz w:val="20"/>
          <w:szCs w:val="20"/>
        </w:rPr>
        <w:t>Mejora</w:t>
      </w:r>
      <w:r>
        <w:rPr>
          <w:rFonts w:ascii="Verdana" w:hAnsi="Verdana"/>
          <w:sz w:val="20"/>
          <w:szCs w:val="20"/>
        </w:rPr>
        <w:t>ndo</w:t>
      </w:r>
      <w:r w:rsidRPr="00945EBB">
        <w:rPr>
          <w:rFonts w:ascii="Verdana" w:hAnsi="Verdana"/>
          <w:sz w:val="20"/>
          <w:szCs w:val="20"/>
        </w:rPr>
        <w:t xml:space="preserve"> la satisfacción de los usuarios </w:t>
      </w:r>
      <w:r>
        <w:rPr>
          <w:rFonts w:ascii="Verdana" w:hAnsi="Verdana"/>
          <w:sz w:val="20"/>
          <w:szCs w:val="20"/>
        </w:rPr>
        <w:t xml:space="preserve">en 9 de los 11 </w:t>
      </w:r>
      <w:r w:rsidRPr="00945EBB">
        <w:rPr>
          <w:rFonts w:ascii="Verdana" w:hAnsi="Verdana"/>
          <w:sz w:val="20"/>
          <w:szCs w:val="20"/>
        </w:rPr>
        <w:t>de los procesos insertos en el S</w:t>
      </w:r>
      <w:r>
        <w:rPr>
          <w:rFonts w:ascii="Verdana" w:hAnsi="Verdana"/>
          <w:sz w:val="20"/>
          <w:szCs w:val="20"/>
        </w:rPr>
        <w:t>istema de Gestión de la Calidad</w:t>
      </w:r>
      <w:r w:rsidR="00132D4D">
        <w:rPr>
          <w:rFonts w:ascii="Verdana" w:hAnsi="Verdana"/>
          <w:sz w:val="20"/>
          <w:szCs w:val="20"/>
        </w:rPr>
        <w:t xml:space="preserve"> institucional</w:t>
      </w:r>
      <w:r>
        <w:rPr>
          <w:rFonts w:ascii="Verdana" w:hAnsi="Verdana"/>
          <w:sz w:val="20"/>
          <w:szCs w:val="20"/>
        </w:rPr>
        <w:t>, con</w:t>
      </w:r>
      <w:r w:rsidRPr="00945EBB">
        <w:rPr>
          <w:rFonts w:ascii="Verdana" w:hAnsi="Verdana"/>
          <w:sz w:val="20"/>
          <w:szCs w:val="20"/>
        </w:rPr>
        <w:t xml:space="preserve"> nota promedio en Evaluación General, igual o superior a 5,9</w:t>
      </w:r>
      <w:r>
        <w:rPr>
          <w:rFonts w:ascii="Verdana" w:hAnsi="Verdana"/>
          <w:sz w:val="20"/>
          <w:szCs w:val="20"/>
        </w:rPr>
        <w:t>.</w:t>
      </w:r>
    </w:p>
    <w:p w14:paraId="7BCEBC45" w14:textId="77777777" w:rsidR="00945EBB" w:rsidRDefault="00945EBB" w:rsidP="0095216D">
      <w:pPr>
        <w:pStyle w:val="Prrafodelista"/>
        <w:numPr>
          <w:ilvl w:val="1"/>
          <w:numId w:val="22"/>
        </w:numPr>
        <w:spacing w:after="0"/>
        <w:ind w:left="709" w:hanging="283"/>
        <w:jc w:val="both"/>
        <w:rPr>
          <w:rFonts w:ascii="Verdana" w:hAnsi="Verdana"/>
          <w:sz w:val="20"/>
          <w:szCs w:val="20"/>
        </w:rPr>
      </w:pPr>
      <w:r>
        <w:rPr>
          <w:rFonts w:ascii="Verdana" w:hAnsi="Verdana"/>
          <w:sz w:val="20"/>
          <w:szCs w:val="20"/>
        </w:rPr>
        <w:t>Cumpliendo</w:t>
      </w:r>
      <w:r w:rsidRPr="00945EBB">
        <w:rPr>
          <w:rFonts w:ascii="Verdana" w:hAnsi="Verdana"/>
          <w:sz w:val="20"/>
          <w:szCs w:val="20"/>
        </w:rPr>
        <w:t xml:space="preserve"> con los plazos de los procesos </w:t>
      </w:r>
      <w:r>
        <w:rPr>
          <w:rFonts w:ascii="Verdana" w:hAnsi="Verdana"/>
          <w:sz w:val="20"/>
          <w:szCs w:val="20"/>
        </w:rPr>
        <w:t xml:space="preserve">asociados al control de insumos, </w:t>
      </w:r>
      <w:r w:rsidR="004D1A44">
        <w:rPr>
          <w:rFonts w:ascii="Verdana" w:hAnsi="Verdana"/>
          <w:sz w:val="20"/>
          <w:szCs w:val="20"/>
        </w:rPr>
        <w:t xml:space="preserve">con un </w:t>
      </w:r>
      <w:r>
        <w:rPr>
          <w:rFonts w:ascii="Verdana" w:hAnsi="Verdana"/>
          <w:sz w:val="20"/>
          <w:szCs w:val="20"/>
        </w:rPr>
        <w:t xml:space="preserve">100% en </w:t>
      </w:r>
      <w:r w:rsidRPr="00945EBB">
        <w:rPr>
          <w:rFonts w:ascii="Verdana" w:hAnsi="Verdana"/>
          <w:sz w:val="20"/>
          <w:szCs w:val="20"/>
        </w:rPr>
        <w:t>solicitudes de registro de productos farmacéuticos</w:t>
      </w:r>
      <w:r>
        <w:rPr>
          <w:rFonts w:ascii="Verdana" w:hAnsi="Verdana"/>
          <w:sz w:val="20"/>
          <w:szCs w:val="20"/>
        </w:rPr>
        <w:t xml:space="preserve"> y un</w:t>
      </w:r>
      <w:r w:rsidR="004D1A44">
        <w:rPr>
          <w:rFonts w:ascii="Verdana" w:hAnsi="Verdana"/>
          <w:sz w:val="20"/>
          <w:szCs w:val="20"/>
        </w:rPr>
        <w:t xml:space="preserve"> 52,7</w:t>
      </w:r>
      <w:r>
        <w:rPr>
          <w:rFonts w:ascii="Verdana" w:hAnsi="Verdana"/>
          <w:sz w:val="20"/>
          <w:szCs w:val="20"/>
        </w:rPr>
        <w:t xml:space="preserve">% en </w:t>
      </w:r>
      <w:r w:rsidRPr="00945EBB">
        <w:rPr>
          <w:rFonts w:ascii="Verdana" w:hAnsi="Verdana"/>
          <w:sz w:val="20"/>
          <w:szCs w:val="20"/>
        </w:rPr>
        <w:t>solicitudes de autorización, renovación o modificación de plaguicidas</w:t>
      </w:r>
      <w:r w:rsidR="004D1A44">
        <w:rPr>
          <w:rFonts w:ascii="Verdana" w:hAnsi="Verdana"/>
          <w:sz w:val="20"/>
          <w:szCs w:val="20"/>
        </w:rPr>
        <w:t>, y</w:t>
      </w:r>
    </w:p>
    <w:p w14:paraId="45199E40" w14:textId="77777777" w:rsidR="00945EBB" w:rsidRPr="00945EBB" w:rsidRDefault="004D1A44" w:rsidP="0095216D">
      <w:pPr>
        <w:pStyle w:val="Prrafodelista"/>
        <w:numPr>
          <w:ilvl w:val="1"/>
          <w:numId w:val="22"/>
        </w:numPr>
        <w:spacing w:after="0"/>
        <w:ind w:left="709" w:hanging="283"/>
        <w:jc w:val="both"/>
        <w:rPr>
          <w:rFonts w:ascii="Verdana" w:hAnsi="Verdana"/>
          <w:sz w:val="20"/>
          <w:szCs w:val="20"/>
        </w:rPr>
      </w:pPr>
      <w:r>
        <w:rPr>
          <w:rFonts w:ascii="Verdana" w:hAnsi="Verdana"/>
          <w:sz w:val="20"/>
          <w:szCs w:val="20"/>
        </w:rPr>
        <w:t>Disminuyendo el t</w:t>
      </w:r>
      <w:r w:rsidRPr="00945EBB">
        <w:rPr>
          <w:rFonts w:ascii="Verdana" w:hAnsi="Verdana"/>
          <w:sz w:val="20"/>
          <w:szCs w:val="20"/>
        </w:rPr>
        <w:t xml:space="preserve">iempo promedio de respuesta </w:t>
      </w:r>
      <w:r>
        <w:rPr>
          <w:rFonts w:ascii="Verdana" w:hAnsi="Verdana"/>
          <w:sz w:val="20"/>
          <w:szCs w:val="20"/>
        </w:rPr>
        <w:t>a</w:t>
      </w:r>
      <w:r w:rsidRPr="00945EBB">
        <w:rPr>
          <w:rFonts w:ascii="Verdana" w:hAnsi="Verdana"/>
          <w:sz w:val="20"/>
          <w:szCs w:val="20"/>
        </w:rPr>
        <w:t xml:space="preserve"> </w:t>
      </w:r>
      <w:r>
        <w:rPr>
          <w:rFonts w:ascii="Verdana" w:hAnsi="Verdana"/>
          <w:sz w:val="20"/>
          <w:szCs w:val="20"/>
        </w:rPr>
        <w:t xml:space="preserve">3,61 días en cuanto a los </w:t>
      </w:r>
      <w:r w:rsidR="00945EBB" w:rsidRPr="00945EBB">
        <w:rPr>
          <w:rFonts w:ascii="Verdana" w:hAnsi="Verdana"/>
          <w:sz w:val="20"/>
          <w:szCs w:val="20"/>
        </w:rPr>
        <w:t>análisis serológico</w:t>
      </w:r>
      <w:r>
        <w:rPr>
          <w:rFonts w:ascii="Verdana" w:hAnsi="Verdana"/>
          <w:sz w:val="20"/>
          <w:szCs w:val="20"/>
        </w:rPr>
        <w:t>s efectuados</w:t>
      </w:r>
      <w:r w:rsidR="00945EBB" w:rsidRPr="00945EBB">
        <w:rPr>
          <w:rFonts w:ascii="Verdana" w:hAnsi="Verdana"/>
          <w:sz w:val="20"/>
          <w:szCs w:val="20"/>
        </w:rPr>
        <w:t xml:space="preserve"> ante de</w:t>
      </w:r>
      <w:r>
        <w:rPr>
          <w:rFonts w:ascii="Verdana" w:hAnsi="Verdana"/>
          <w:sz w:val="20"/>
          <w:szCs w:val="20"/>
        </w:rPr>
        <w:t xml:space="preserve">nuncias </w:t>
      </w:r>
      <w:proofErr w:type="spellStart"/>
      <w:r>
        <w:rPr>
          <w:rFonts w:ascii="Verdana" w:hAnsi="Verdana"/>
          <w:sz w:val="20"/>
          <w:szCs w:val="20"/>
        </w:rPr>
        <w:t>emergenciales</w:t>
      </w:r>
      <w:proofErr w:type="spellEnd"/>
      <w:r>
        <w:rPr>
          <w:rFonts w:ascii="Verdana" w:hAnsi="Verdana"/>
          <w:sz w:val="20"/>
          <w:szCs w:val="20"/>
        </w:rPr>
        <w:t xml:space="preserve"> pecuarias</w:t>
      </w:r>
      <w:r w:rsidR="00945EBB">
        <w:rPr>
          <w:rFonts w:ascii="Verdana" w:hAnsi="Verdana"/>
          <w:sz w:val="20"/>
          <w:szCs w:val="20"/>
        </w:rPr>
        <w:t xml:space="preserve">. </w:t>
      </w:r>
    </w:p>
    <w:p w14:paraId="02D8C868" w14:textId="77777777" w:rsidR="008C1E40" w:rsidRDefault="008C1E40" w:rsidP="00626248">
      <w:pPr>
        <w:spacing w:after="0"/>
        <w:jc w:val="both"/>
        <w:rPr>
          <w:rFonts w:ascii="Verdana" w:hAnsi="Verdana"/>
          <w:sz w:val="20"/>
          <w:szCs w:val="20"/>
        </w:rPr>
      </w:pPr>
    </w:p>
    <w:p w14:paraId="518CF860" w14:textId="56596B6D" w:rsidR="00132D4D" w:rsidRDefault="00783628" w:rsidP="001508AD">
      <w:pPr>
        <w:pStyle w:val="Default"/>
        <w:jc w:val="both"/>
      </w:pPr>
      <w:r>
        <w:rPr>
          <w:rFonts w:ascii="Verdana" w:hAnsi="Verdana"/>
          <w:sz w:val="20"/>
          <w:szCs w:val="20"/>
        </w:rPr>
        <w:lastRenderedPageBreak/>
        <w:t>Con todo lo anteriormente expuesto</w:t>
      </w:r>
      <w:r w:rsidR="008C1E40">
        <w:rPr>
          <w:rFonts w:ascii="Verdana" w:hAnsi="Verdana"/>
          <w:sz w:val="20"/>
          <w:szCs w:val="20"/>
        </w:rPr>
        <w:t>,</w:t>
      </w:r>
      <w:r>
        <w:rPr>
          <w:rFonts w:ascii="Verdana" w:hAnsi="Verdana"/>
          <w:sz w:val="20"/>
          <w:szCs w:val="20"/>
        </w:rPr>
        <w:t xml:space="preserve"> el</w:t>
      </w:r>
      <w:r w:rsidR="008C1E40">
        <w:rPr>
          <w:rFonts w:ascii="Verdana" w:hAnsi="Verdana"/>
          <w:sz w:val="20"/>
          <w:szCs w:val="20"/>
        </w:rPr>
        <w:t xml:space="preserve"> </w:t>
      </w:r>
      <w:r w:rsidR="00F30B41" w:rsidRPr="00BB2A2C">
        <w:rPr>
          <w:rFonts w:ascii="Verdana" w:hAnsi="Verdana"/>
          <w:sz w:val="20"/>
          <w:szCs w:val="20"/>
        </w:rPr>
        <w:t xml:space="preserve">SAG </w:t>
      </w:r>
      <w:r>
        <w:rPr>
          <w:rFonts w:ascii="Verdana" w:hAnsi="Verdana"/>
          <w:sz w:val="20"/>
          <w:szCs w:val="20"/>
        </w:rPr>
        <w:t xml:space="preserve">continua ejecutando </w:t>
      </w:r>
      <w:r w:rsidR="00F30B41" w:rsidRPr="00BB2A2C">
        <w:rPr>
          <w:rFonts w:ascii="Verdana" w:hAnsi="Verdana"/>
          <w:sz w:val="20"/>
          <w:szCs w:val="20"/>
        </w:rPr>
        <w:t xml:space="preserve">todas </w:t>
      </w:r>
      <w:r w:rsidR="00626248" w:rsidRPr="00BB2A2C">
        <w:rPr>
          <w:rFonts w:ascii="Verdana" w:hAnsi="Verdana"/>
          <w:sz w:val="20"/>
          <w:szCs w:val="20"/>
        </w:rPr>
        <w:t xml:space="preserve">las </w:t>
      </w:r>
      <w:r w:rsidR="00F30B41" w:rsidRPr="00BB2A2C">
        <w:rPr>
          <w:rFonts w:ascii="Verdana" w:hAnsi="Verdana"/>
          <w:sz w:val="20"/>
          <w:szCs w:val="20"/>
        </w:rPr>
        <w:t xml:space="preserve">acciones para </w:t>
      </w:r>
      <w:r w:rsidR="00626248" w:rsidRPr="00BB2A2C">
        <w:rPr>
          <w:rFonts w:ascii="Verdana" w:hAnsi="Verdana"/>
          <w:sz w:val="20"/>
          <w:szCs w:val="20"/>
        </w:rPr>
        <w:t>dar cumplimiento a los objetivos contenidos en</w:t>
      </w:r>
      <w:r w:rsidR="00F30B41" w:rsidRPr="00BB2A2C">
        <w:rPr>
          <w:rFonts w:ascii="Verdana" w:hAnsi="Verdana"/>
          <w:sz w:val="20"/>
          <w:szCs w:val="20"/>
        </w:rPr>
        <w:t xml:space="preserve"> su plan institucional anual</w:t>
      </w:r>
      <w:r w:rsidR="00626248" w:rsidRPr="00BB2A2C">
        <w:rPr>
          <w:rFonts w:ascii="Verdana" w:hAnsi="Verdana"/>
          <w:sz w:val="20"/>
          <w:szCs w:val="20"/>
        </w:rPr>
        <w:t xml:space="preserve"> que está alineado con su misión </w:t>
      </w:r>
      <w:r w:rsidR="00F30B41" w:rsidRPr="00BB2A2C">
        <w:rPr>
          <w:rFonts w:ascii="Verdana" w:hAnsi="Verdana"/>
          <w:sz w:val="20"/>
          <w:szCs w:val="20"/>
        </w:rPr>
        <w:t xml:space="preserve">de </w:t>
      </w:r>
      <w:r w:rsidR="00626248" w:rsidRPr="00BB2A2C">
        <w:rPr>
          <w:rFonts w:ascii="Verdana" w:hAnsi="Verdana"/>
          <w:sz w:val="20"/>
          <w:szCs w:val="20"/>
        </w:rPr>
        <w:t>“</w:t>
      </w:r>
      <w:r w:rsidR="001508AD" w:rsidRPr="001508AD">
        <w:rPr>
          <w:rFonts w:ascii="Verdana" w:hAnsi="Verdana"/>
          <w:sz w:val="20"/>
          <w:szCs w:val="20"/>
        </w:rPr>
        <w:t xml:space="preserve">Proteger y mejorar la condición </w:t>
      </w:r>
      <w:proofErr w:type="spellStart"/>
      <w:r w:rsidR="001508AD" w:rsidRPr="001508AD">
        <w:rPr>
          <w:rFonts w:ascii="Verdana" w:hAnsi="Verdana"/>
          <w:sz w:val="20"/>
          <w:szCs w:val="20"/>
        </w:rPr>
        <w:t>fito</w:t>
      </w:r>
      <w:proofErr w:type="spellEnd"/>
      <w:r w:rsidR="001508AD" w:rsidRPr="001508AD">
        <w:rPr>
          <w:rFonts w:ascii="Verdana" w:hAnsi="Verdana"/>
          <w:sz w:val="20"/>
          <w:szCs w:val="20"/>
        </w:rPr>
        <w:t xml:space="preserve"> y zoosanitaria de los recursos productivos, y conservar los recursos naturales renovables del ámbito </w:t>
      </w:r>
      <w:proofErr w:type="spellStart"/>
      <w:r w:rsidR="001508AD" w:rsidRPr="001508AD">
        <w:rPr>
          <w:rFonts w:ascii="Verdana" w:hAnsi="Verdana"/>
          <w:sz w:val="20"/>
          <w:szCs w:val="20"/>
        </w:rPr>
        <w:t>silvoagropecuario</w:t>
      </w:r>
      <w:proofErr w:type="spellEnd"/>
      <w:r w:rsidR="001508AD" w:rsidRPr="001508AD">
        <w:rPr>
          <w:rFonts w:ascii="Verdana" w:hAnsi="Verdana"/>
          <w:sz w:val="20"/>
          <w:szCs w:val="20"/>
        </w:rPr>
        <w:t xml:space="preserve"> del país, controlando los insumos y productos, a través de la elaboración, actualización y aplicación de la normativa vigente, para contribuir al desarrollo sustentable y competitivo del sector.</w:t>
      </w:r>
      <w:r w:rsidR="001508AD">
        <w:rPr>
          <w:rFonts w:ascii="Verdana" w:hAnsi="Verdana"/>
          <w:sz w:val="20"/>
          <w:szCs w:val="20"/>
        </w:rPr>
        <w:t>”</w:t>
      </w:r>
    </w:p>
    <w:p w14:paraId="3893BD73" w14:textId="3CEA2B2F" w:rsidR="002F3676" w:rsidRPr="002F3676" w:rsidRDefault="002F3676" w:rsidP="00783628">
      <w:pPr>
        <w:spacing w:after="0"/>
        <w:jc w:val="both"/>
        <w:rPr>
          <w:rFonts w:ascii="Verdana" w:hAnsi="Verdana"/>
          <w:sz w:val="20"/>
          <w:szCs w:val="20"/>
        </w:rPr>
      </w:pPr>
    </w:p>
    <w:sectPr w:rsidR="002F3676" w:rsidRPr="002F3676" w:rsidSect="00E37ED3">
      <w:footerReference w:type="default" r:id="rId9"/>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2B252" w14:textId="77777777" w:rsidR="00B93C78" w:rsidRDefault="00B93C78" w:rsidP="00E37ED3">
      <w:pPr>
        <w:spacing w:after="0" w:line="240" w:lineRule="auto"/>
      </w:pPr>
      <w:r>
        <w:separator/>
      </w:r>
    </w:p>
  </w:endnote>
  <w:endnote w:type="continuationSeparator" w:id="0">
    <w:p w14:paraId="1E7F7CCF" w14:textId="77777777" w:rsidR="00B93C78" w:rsidRDefault="00B93C78" w:rsidP="00E3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487394"/>
      <w:docPartObj>
        <w:docPartGallery w:val="Page Numbers (Bottom of Page)"/>
        <w:docPartUnique/>
      </w:docPartObj>
    </w:sdtPr>
    <w:sdtContent>
      <w:p w14:paraId="08576D4A" w14:textId="1BB8CD75" w:rsidR="00771B5C" w:rsidRDefault="00771B5C">
        <w:pPr>
          <w:pStyle w:val="Piedepgina"/>
          <w:jc w:val="right"/>
        </w:pPr>
        <w:r>
          <w:fldChar w:fldCharType="begin"/>
        </w:r>
        <w:r>
          <w:instrText>PAGE   \* MERGEFORMAT</w:instrText>
        </w:r>
        <w:r>
          <w:fldChar w:fldCharType="separate"/>
        </w:r>
        <w:r w:rsidR="00C165B9" w:rsidRPr="00C165B9">
          <w:rPr>
            <w:noProof/>
            <w:lang w:val="es-ES"/>
          </w:rPr>
          <w:t>25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94B60" w14:textId="77777777" w:rsidR="00B93C78" w:rsidRDefault="00B93C78" w:rsidP="00E37ED3">
      <w:pPr>
        <w:spacing w:after="0" w:line="240" w:lineRule="auto"/>
      </w:pPr>
      <w:r>
        <w:separator/>
      </w:r>
    </w:p>
  </w:footnote>
  <w:footnote w:type="continuationSeparator" w:id="0">
    <w:p w14:paraId="5A99C7BC" w14:textId="77777777" w:rsidR="00B93C78" w:rsidRDefault="00B93C78" w:rsidP="00E37E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A0703"/>
    <w:multiLevelType w:val="hybridMultilevel"/>
    <w:tmpl w:val="77D6C034"/>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1B275258"/>
    <w:multiLevelType w:val="hybridMultilevel"/>
    <w:tmpl w:val="9E8030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0905B48"/>
    <w:multiLevelType w:val="hybridMultilevel"/>
    <w:tmpl w:val="59D0FD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C6278E3"/>
    <w:multiLevelType w:val="hybridMultilevel"/>
    <w:tmpl w:val="012E844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9763117"/>
    <w:multiLevelType w:val="hybridMultilevel"/>
    <w:tmpl w:val="6868E494"/>
    <w:lvl w:ilvl="0" w:tplc="340A000F">
      <w:start w:val="1"/>
      <w:numFmt w:val="decimal"/>
      <w:lvlText w:val="%1."/>
      <w:lvlJc w:val="left"/>
      <w:pPr>
        <w:ind w:left="360" w:hanging="360"/>
      </w:pPr>
    </w:lvl>
    <w:lvl w:ilvl="1" w:tplc="F92EF186">
      <w:start w:val="6"/>
      <w:numFmt w:val="bullet"/>
      <w:lvlText w:val="-"/>
      <w:lvlJc w:val="left"/>
      <w:pPr>
        <w:ind w:left="1080" w:hanging="360"/>
      </w:pPr>
      <w:rPr>
        <w:rFonts w:ascii="Calibri" w:eastAsiaTheme="minorHAnsi" w:hAnsi="Calibri" w:cs="Calibri" w:hint="default"/>
      </w:rPr>
    </w:lvl>
    <w:lvl w:ilvl="2" w:tplc="AD8C7D94">
      <w:start w:val="1"/>
      <w:numFmt w:val="lowerLetter"/>
      <w:lvlText w:val="%3)"/>
      <w:lvlJc w:val="left"/>
      <w:pPr>
        <w:ind w:left="1980" w:hanging="360"/>
      </w:pPr>
      <w:rPr>
        <w:rFonts w:hint="default"/>
      </w:r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3C0E2420"/>
    <w:multiLevelType w:val="hybridMultilevel"/>
    <w:tmpl w:val="3E9C617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ED078C4"/>
    <w:multiLevelType w:val="hybridMultilevel"/>
    <w:tmpl w:val="916A1AFC"/>
    <w:lvl w:ilvl="0" w:tplc="340A0001">
      <w:start w:val="1"/>
      <w:numFmt w:val="bullet"/>
      <w:lvlText w:val=""/>
      <w:lvlJc w:val="left"/>
      <w:pPr>
        <w:ind w:left="1800" w:hanging="360"/>
      </w:pPr>
      <w:rPr>
        <w:rFonts w:ascii="Symbol" w:hAnsi="Symbol" w:hint="default"/>
      </w:rPr>
    </w:lvl>
    <w:lvl w:ilvl="1" w:tplc="340A0003" w:tentative="1">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7" w15:restartNumberingAfterBreak="0">
    <w:nsid w:val="45E17CD9"/>
    <w:multiLevelType w:val="hybridMultilevel"/>
    <w:tmpl w:val="9CEEEE6E"/>
    <w:lvl w:ilvl="0" w:tplc="9F9820A4">
      <w:start w:val="1"/>
      <w:numFmt w:val="lowerRoman"/>
      <w:lvlText w:val="(%1)"/>
      <w:lvlJc w:val="left"/>
      <w:pPr>
        <w:ind w:left="1080" w:hanging="72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6F7368C"/>
    <w:multiLevelType w:val="hybridMultilevel"/>
    <w:tmpl w:val="0CD4605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8AC390D"/>
    <w:multiLevelType w:val="hybridMultilevel"/>
    <w:tmpl w:val="9CEEEE6E"/>
    <w:lvl w:ilvl="0" w:tplc="9F9820A4">
      <w:start w:val="1"/>
      <w:numFmt w:val="lowerRoman"/>
      <w:lvlText w:val="(%1)"/>
      <w:lvlJc w:val="left"/>
      <w:pPr>
        <w:ind w:left="1080" w:hanging="72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545E6AAC"/>
    <w:multiLevelType w:val="multilevel"/>
    <w:tmpl w:val="DC786DDE"/>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5C0B6894"/>
    <w:multiLevelType w:val="hybridMultilevel"/>
    <w:tmpl w:val="B3E0452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13D3225"/>
    <w:multiLevelType w:val="hybridMultilevel"/>
    <w:tmpl w:val="255A65A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61762981"/>
    <w:multiLevelType w:val="hybridMultilevel"/>
    <w:tmpl w:val="A7DE928E"/>
    <w:lvl w:ilvl="0" w:tplc="001CA8E0">
      <w:start w:val="1"/>
      <w:numFmt w:val="decimal"/>
      <w:pStyle w:val="TDC1"/>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66D135C8"/>
    <w:multiLevelType w:val="multilevel"/>
    <w:tmpl w:val="4AEEE6B2"/>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15" w15:restartNumberingAfterBreak="0">
    <w:nsid w:val="6F362702"/>
    <w:multiLevelType w:val="hybridMultilevel"/>
    <w:tmpl w:val="6868E494"/>
    <w:lvl w:ilvl="0" w:tplc="340A000F">
      <w:start w:val="1"/>
      <w:numFmt w:val="decimal"/>
      <w:lvlText w:val="%1."/>
      <w:lvlJc w:val="left"/>
      <w:pPr>
        <w:ind w:left="720" w:hanging="360"/>
      </w:pPr>
    </w:lvl>
    <w:lvl w:ilvl="1" w:tplc="F92EF186">
      <w:start w:val="6"/>
      <w:numFmt w:val="bullet"/>
      <w:lvlText w:val="-"/>
      <w:lvlJc w:val="left"/>
      <w:pPr>
        <w:ind w:left="1440" w:hanging="360"/>
      </w:pPr>
      <w:rPr>
        <w:rFonts w:ascii="Calibri" w:eastAsiaTheme="minorHAnsi" w:hAnsi="Calibri" w:cs="Calibri" w:hint="default"/>
      </w:rPr>
    </w:lvl>
    <w:lvl w:ilvl="2" w:tplc="AD8C7D94">
      <w:start w:val="1"/>
      <w:numFmt w:val="lowerLetter"/>
      <w:lvlText w:val="%3)"/>
      <w:lvlJc w:val="left"/>
      <w:pPr>
        <w:ind w:left="2340" w:hanging="360"/>
      </w:pPr>
      <w:rPr>
        <w:rFonts w:hint="default"/>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0AF2DAE"/>
    <w:multiLevelType w:val="hybridMultilevel"/>
    <w:tmpl w:val="9CEEEE6E"/>
    <w:lvl w:ilvl="0" w:tplc="9F9820A4">
      <w:start w:val="1"/>
      <w:numFmt w:val="lowerRoman"/>
      <w:lvlText w:val="(%1)"/>
      <w:lvlJc w:val="left"/>
      <w:pPr>
        <w:ind w:left="1080" w:hanging="72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717B5505"/>
    <w:multiLevelType w:val="multilevel"/>
    <w:tmpl w:val="B0E82A30"/>
    <w:lvl w:ilvl="0">
      <w:start w:val="2"/>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8" w15:restartNumberingAfterBreak="0">
    <w:nsid w:val="76A15857"/>
    <w:multiLevelType w:val="hybridMultilevel"/>
    <w:tmpl w:val="CBF277B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77345368"/>
    <w:multiLevelType w:val="hybridMultilevel"/>
    <w:tmpl w:val="4BD6C8C2"/>
    <w:lvl w:ilvl="0" w:tplc="684ED3AE">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78B62A4B"/>
    <w:multiLevelType w:val="hybridMultilevel"/>
    <w:tmpl w:val="47FE636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7AEF07DF"/>
    <w:multiLevelType w:val="multilevel"/>
    <w:tmpl w:val="DC786DDE"/>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11"/>
  </w:num>
  <w:num w:numId="3">
    <w:abstractNumId w:val="8"/>
  </w:num>
  <w:num w:numId="4">
    <w:abstractNumId w:val="17"/>
  </w:num>
  <w:num w:numId="5">
    <w:abstractNumId w:val="21"/>
  </w:num>
  <w:num w:numId="6">
    <w:abstractNumId w:val="13"/>
  </w:num>
  <w:num w:numId="7">
    <w:abstractNumId w:val="3"/>
  </w:num>
  <w:num w:numId="8">
    <w:abstractNumId w:val="14"/>
  </w:num>
  <w:num w:numId="9">
    <w:abstractNumId w:val="10"/>
  </w:num>
  <w:num w:numId="10">
    <w:abstractNumId w:val="20"/>
  </w:num>
  <w:num w:numId="11">
    <w:abstractNumId w:val="5"/>
  </w:num>
  <w:num w:numId="12">
    <w:abstractNumId w:val="0"/>
  </w:num>
  <w:num w:numId="13">
    <w:abstractNumId w:val="15"/>
  </w:num>
  <w:num w:numId="14">
    <w:abstractNumId w:val="12"/>
  </w:num>
  <w:num w:numId="15">
    <w:abstractNumId w:val="18"/>
  </w:num>
  <w:num w:numId="16">
    <w:abstractNumId w:val="6"/>
  </w:num>
  <w:num w:numId="17">
    <w:abstractNumId w:val="19"/>
  </w:num>
  <w:num w:numId="18">
    <w:abstractNumId w:val="16"/>
  </w:num>
  <w:num w:numId="19">
    <w:abstractNumId w:val="9"/>
  </w:num>
  <w:num w:numId="20">
    <w:abstractNumId w:val="7"/>
  </w:num>
  <w:num w:numId="21">
    <w:abstractNumId w:val="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BE9"/>
    <w:rsid w:val="00000FC5"/>
    <w:rsid w:val="00015259"/>
    <w:rsid w:val="00026032"/>
    <w:rsid w:val="00026DBF"/>
    <w:rsid w:val="00032758"/>
    <w:rsid w:val="00034BE4"/>
    <w:rsid w:val="0003518D"/>
    <w:rsid w:val="000361DA"/>
    <w:rsid w:val="0004477D"/>
    <w:rsid w:val="00055CE4"/>
    <w:rsid w:val="00057E63"/>
    <w:rsid w:val="000606AB"/>
    <w:rsid w:val="00070984"/>
    <w:rsid w:val="0007661D"/>
    <w:rsid w:val="00077DDE"/>
    <w:rsid w:val="0008198B"/>
    <w:rsid w:val="00086FFE"/>
    <w:rsid w:val="00092D18"/>
    <w:rsid w:val="000941A0"/>
    <w:rsid w:val="00094E8A"/>
    <w:rsid w:val="000A4C04"/>
    <w:rsid w:val="000A4DAC"/>
    <w:rsid w:val="000C3AB0"/>
    <w:rsid w:val="000C6EFA"/>
    <w:rsid w:val="000C72C8"/>
    <w:rsid w:val="000C7D26"/>
    <w:rsid w:val="000D16A8"/>
    <w:rsid w:val="000D44C7"/>
    <w:rsid w:val="000D75D2"/>
    <w:rsid w:val="000E12C3"/>
    <w:rsid w:val="000E39A8"/>
    <w:rsid w:val="000E7E0A"/>
    <w:rsid w:val="000F0B98"/>
    <w:rsid w:val="000F3A84"/>
    <w:rsid w:val="000F6B6D"/>
    <w:rsid w:val="001019D8"/>
    <w:rsid w:val="00105689"/>
    <w:rsid w:val="00110387"/>
    <w:rsid w:val="00111B0D"/>
    <w:rsid w:val="001220E7"/>
    <w:rsid w:val="00122E85"/>
    <w:rsid w:val="001278FF"/>
    <w:rsid w:val="00132D4D"/>
    <w:rsid w:val="001428DF"/>
    <w:rsid w:val="00145B69"/>
    <w:rsid w:val="001508AD"/>
    <w:rsid w:val="00157F6A"/>
    <w:rsid w:val="00161B88"/>
    <w:rsid w:val="00174997"/>
    <w:rsid w:val="00174D81"/>
    <w:rsid w:val="00183036"/>
    <w:rsid w:val="001841CF"/>
    <w:rsid w:val="00184E1B"/>
    <w:rsid w:val="00185945"/>
    <w:rsid w:val="00185BE9"/>
    <w:rsid w:val="0019093A"/>
    <w:rsid w:val="00191757"/>
    <w:rsid w:val="00191BC6"/>
    <w:rsid w:val="001933A2"/>
    <w:rsid w:val="00197D17"/>
    <w:rsid w:val="00197EC1"/>
    <w:rsid w:val="001A5EB2"/>
    <w:rsid w:val="001B276C"/>
    <w:rsid w:val="001B36D5"/>
    <w:rsid w:val="001B7A4D"/>
    <w:rsid w:val="001C004A"/>
    <w:rsid w:val="001C4CA4"/>
    <w:rsid w:val="001D6B04"/>
    <w:rsid w:val="001E4573"/>
    <w:rsid w:val="001F4522"/>
    <w:rsid w:val="002062A7"/>
    <w:rsid w:val="00212CFC"/>
    <w:rsid w:val="002140FF"/>
    <w:rsid w:val="00214537"/>
    <w:rsid w:val="002161A5"/>
    <w:rsid w:val="0022124A"/>
    <w:rsid w:val="00222522"/>
    <w:rsid w:val="002233E5"/>
    <w:rsid w:val="0022727A"/>
    <w:rsid w:val="00227743"/>
    <w:rsid w:val="00230B0D"/>
    <w:rsid w:val="002342E8"/>
    <w:rsid w:val="00235ED9"/>
    <w:rsid w:val="002403D3"/>
    <w:rsid w:val="00240E96"/>
    <w:rsid w:val="00242D2F"/>
    <w:rsid w:val="00250201"/>
    <w:rsid w:val="002518CB"/>
    <w:rsid w:val="00256C4A"/>
    <w:rsid w:val="00260462"/>
    <w:rsid w:val="00260B1F"/>
    <w:rsid w:val="00266961"/>
    <w:rsid w:val="0027609D"/>
    <w:rsid w:val="002968DF"/>
    <w:rsid w:val="002A18ED"/>
    <w:rsid w:val="002B20DF"/>
    <w:rsid w:val="002B7C23"/>
    <w:rsid w:val="002C11AF"/>
    <w:rsid w:val="002C6A8E"/>
    <w:rsid w:val="002D7F54"/>
    <w:rsid w:val="002E1523"/>
    <w:rsid w:val="002E1D9D"/>
    <w:rsid w:val="002E3026"/>
    <w:rsid w:val="002E4A2E"/>
    <w:rsid w:val="002E67B1"/>
    <w:rsid w:val="002E6AAA"/>
    <w:rsid w:val="002E6B7E"/>
    <w:rsid w:val="002F06F7"/>
    <w:rsid w:val="002F1919"/>
    <w:rsid w:val="002F320A"/>
    <w:rsid w:val="002F3676"/>
    <w:rsid w:val="002F69A1"/>
    <w:rsid w:val="00300EDC"/>
    <w:rsid w:val="003302B0"/>
    <w:rsid w:val="0033188C"/>
    <w:rsid w:val="0033533D"/>
    <w:rsid w:val="00335ED3"/>
    <w:rsid w:val="00337487"/>
    <w:rsid w:val="003377DF"/>
    <w:rsid w:val="00340E63"/>
    <w:rsid w:val="00346FBA"/>
    <w:rsid w:val="00347245"/>
    <w:rsid w:val="0035479A"/>
    <w:rsid w:val="00365909"/>
    <w:rsid w:val="0036643E"/>
    <w:rsid w:val="00367891"/>
    <w:rsid w:val="00367B84"/>
    <w:rsid w:val="00384A93"/>
    <w:rsid w:val="00387863"/>
    <w:rsid w:val="00390C7A"/>
    <w:rsid w:val="00393E62"/>
    <w:rsid w:val="003A1B9F"/>
    <w:rsid w:val="003B2C9E"/>
    <w:rsid w:val="003B3CD2"/>
    <w:rsid w:val="003B3EC8"/>
    <w:rsid w:val="003B6B62"/>
    <w:rsid w:val="003C06EE"/>
    <w:rsid w:val="003C240B"/>
    <w:rsid w:val="003D0123"/>
    <w:rsid w:val="003D3BA7"/>
    <w:rsid w:val="003E246B"/>
    <w:rsid w:val="003E47E7"/>
    <w:rsid w:val="003E7D8E"/>
    <w:rsid w:val="003F56CF"/>
    <w:rsid w:val="003F6466"/>
    <w:rsid w:val="003F6FE9"/>
    <w:rsid w:val="00401C90"/>
    <w:rsid w:val="004067C7"/>
    <w:rsid w:val="0041215E"/>
    <w:rsid w:val="00416E05"/>
    <w:rsid w:val="00421614"/>
    <w:rsid w:val="004221EE"/>
    <w:rsid w:val="004248B9"/>
    <w:rsid w:val="00434A43"/>
    <w:rsid w:val="00435923"/>
    <w:rsid w:val="00445E79"/>
    <w:rsid w:val="00463F7A"/>
    <w:rsid w:val="00464CB1"/>
    <w:rsid w:val="00467BD2"/>
    <w:rsid w:val="004711B9"/>
    <w:rsid w:val="004856CB"/>
    <w:rsid w:val="00493D91"/>
    <w:rsid w:val="00494452"/>
    <w:rsid w:val="00496C1E"/>
    <w:rsid w:val="004A1A26"/>
    <w:rsid w:val="004A54EA"/>
    <w:rsid w:val="004B756E"/>
    <w:rsid w:val="004C037E"/>
    <w:rsid w:val="004C5768"/>
    <w:rsid w:val="004D1A44"/>
    <w:rsid w:val="004D2F9A"/>
    <w:rsid w:val="004D46EA"/>
    <w:rsid w:val="004D5538"/>
    <w:rsid w:val="004D5E3C"/>
    <w:rsid w:val="00501BB4"/>
    <w:rsid w:val="00522538"/>
    <w:rsid w:val="00522C9A"/>
    <w:rsid w:val="00530053"/>
    <w:rsid w:val="00530341"/>
    <w:rsid w:val="00534647"/>
    <w:rsid w:val="00536B6F"/>
    <w:rsid w:val="005416E3"/>
    <w:rsid w:val="00542E13"/>
    <w:rsid w:val="00543B08"/>
    <w:rsid w:val="00547D0E"/>
    <w:rsid w:val="00557142"/>
    <w:rsid w:val="00557BB9"/>
    <w:rsid w:val="00561654"/>
    <w:rsid w:val="00563FE2"/>
    <w:rsid w:val="005858D1"/>
    <w:rsid w:val="00587ED6"/>
    <w:rsid w:val="00594C7B"/>
    <w:rsid w:val="0059613C"/>
    <w:rsid w:val="00596BC1"/>
    <w:rsid w:val="005975C1"/>
    <w:rsid w:val="005B01C2"/>
    <w:rsid w:val="005B42B6"/>
    <w:rsid w:val="005B76DB"/>
    <w:rsid w:val="005D3467"/>
    <w:rsid w:val="005E437E"/>
    <w:rsid w:val="005F137F"/>
    <w:rsid w:val="005F33EE"/>
    <w:rsid w:val="005F6AA9"/>
    <w:rsid w:val="00601419"/>
    <w:rsid w:val="00602F8A"/>
    <w:rsid w:val="00613BB9"/>
    <w:rsid w:val="00626248"/>
    <w:rsid w:val="006265F8"/>
    <w:rsid w:val="00631123"/>
    <w:rsid w:val="00633B0B"/>
    <w:rsid w:val="00635997"/>
    <w:rsid w:val="006431FE"/>
    <w:rsid w:val="00644922"/>
    <w:rsid w:val="006469FE"/>
    <w:rsid w:val="0065245D"/>
    <w:rsid w:val="00654109"/>
    <w:rsid w:val="00655C12"/>
    <w:rsid w:val="006568AC"/>
    <w:rsid w:val="0066397A"/>
    <w:rsid w:val="00665485"/>
    <w:rsid w:val="00667A72"/>
    <w:rsid w:val="006724E2"/>
    <w:rsid w:val="00681C66"/>
    <w:rsid w:val="00684C6A"/>
    <w:rsid w:val="00686C78"/>
    <w:rsid w:val="006951C8"/>
    <w:rsid w:val="00697686"/>
    <w:rsid w:val="006B12AE"/>
    <w:rsid w:val="006B1DC0"/>
    <w:rsid w:val="006C603D"/>
    <w:rsid w:val="006C76F0"/>
    <w:rsid w:val="006D50EF"/>
    <w:rsid w:val="006E1A0F"/>
    <w:rsid w:val="006E4A42"/>
    <w:rsid w:val="006F07C3"/>
    <w:rsid w:val="006F4510"/>
    <w:rsid w:val="007007CA"/>
    <w:rsid w:val="0071002A"/>
    <w:rsid w:val="00727420"/>
    <w:rsid w:val="0073304E"/>
    <w:rsid w:val="007339C9"/>
    <w:rsid w:val="007341FB"/>
    <w:rsid w:val="00734DB2"/>
    <w:rsid w:val="00736ECE"/>
    <w:rsid w:val="00740C82"/>
    <w:rsid w:val="00744712"/>
    <w:rsid w:val="00751643"/>
    <w:rsid w:val="0075708B"/>
    <w:rsid w:val="00761394"/>
    <w:rsid w:val="00763731"/>
    <w:rsid w:val="00771B5C"/>
    <w:rsid w:val="00776881"/>
    <w:rsid w:val="0077798C"/>
    <w:rsid w:val="0078253D"/>
    <w:rsid w:val="00783628"/>
    <w:rsid w:val="007928F8"/>
    <w:rsid w:val="00794E57"/>
    <w:rsid w:val="00796279"/>
    <w:rsid w:val="007A059B"/>
    <w:rsid w:val="007A0F09"/>
    <w:rsid w:val="007A6C1A"/>
    <w:rsid w:val="007B100E"/>
    <w:rsid w:val="007B2829"/>
    <w:rsid w:val="007B3EBE"/>
    <w:rsid w:val="007C1706"/>
    <w:rsid w:val="007C26EF"/>
    <w:rsid w:val="007C55C6"/>
    <w:rsid w:val="007C5B94"/>
    <w:rsid w:val="007D47D6"/>
    <w:rsid w:val="007F00FE"/>
    <w:rsid w:val="007F3308"/>
    <w:rsid w:val="0081147B"/>
    <w:rsid w:val="00814DE6"/>
    <w:rsid w:val="0081503C"/>
    <w:rsid w:val="00816341"/>
    <w:rsid w:val="0082217E"/>
    <w:rsid w:val="008230E7"/>
    <w:rsid w:val="008247FC"/>
    <w:rsid w:val="00830FE6"/>
    <w:rsid w:val="008323DA"/>
    <w:rsid w:val="00833898"/>
    <w:rsid w:val="008402ED"/>
    <w:rsid w:val="00841C6F"/>
    <w:rsid w:val="008445C0"/>
    <w:rsid w:val="008453F7"/>
    <w:rsid w:val="00856B24"/>
    <w:rsid w:val="00861126"/>
    <w:rsid w:val="008639EC"/>
    <w:rsid w:val="00863CAB"/>
    <w:rsid w:val="00863E1D"/>
    <w:rsid w:val="00865CD9"/>
    <w:rsid w:val="00871E59"/>
    <w:rsid w:val="008764EA"/>
    <w:rsid w:val="00892D4A"/>
    <w:rsid w:val="00893C60"/>
    <w:rsid w:val="008959D5"/>
    <w:rsid w:val="008965D6"/>
    <w:rsid w:val="008A6383"/>
    <w:rsid w:val="008A75D1"/>
    <w:rsid w:val="008B37F5"/>
    <w:rsid w:val="008C1E40"/>
    <w:rsid w:val="008C674F"/>
    <w:rsid w:val="008D58FD"/>
    <w:rsid w:val="008E044E"/>
    <w:rsid w:val="008E1C9B"/>
    <w:rsid w:val="008E496F"/>
    <w:rsid w:val="008F318D"/>
    <w:rsid w:val="008F31D8"/>
    <w:rsid w:val="008F7681"/>
    <w:rsid w:val="00900839"/>
    <w:rsid w:val="0090148F"/>
    <w:rsid w:val="0090456B"/>
    <w:rsid w:val="009066A9"/>
    <w:rsid w:val="009148C2"/>
    <w:rsid w:val="00916CAC"/>
    <w:rsid w:val="0092772C"/>
    <w:rsid w:val="00933ACB"/>
    <w:rsid w:val="00933D79"/>
    <w:rsid w:val="00935606"/>
    <w:rsid w:val="00935988"/>
    <w:rsid w:val="009375B1"/>
    <w:rsid w:val="00937665"/>
    <w:rsid w:val="00942C4A"/>
    <w:rsid w:val="00943A5F"/>
    <w:rsid w:val="00943E20"/>
    <w:rsid w:val="009445C5"/>
    <w:rsid w:val="00945EBB"/>
    <w:rsid w:val="0094606B"/>
    <w:rsid w:val="009473C1"/>
    <w:rsid w:val="0095216D"/>
    <w:rsid w:val="009655A4"/>
    <w:rsid w:val="0096609A"/>
    <w:rsid w:val="009766CB"/>
    <w:rsid w:val="009850C8"/>
    <w:rsid w:val="00992912"/>
    <w:rsid w:val="0099621E"/>
    <w:rsid w:val="00997826"/>
    <w:rsid w:val="009A0174"/>
    <w:rsid w:val="009A1050"/>
    <w:rsid w:val="009A1116"/>
    <w:rsid w:val="009B16C9"/>
    <w:rsid w:val="009D174F"/>
    <w:rsid w:val="009D179C"/>
    <w:rsid w:val="009E4229"/>
    <w:rsid w:val="009E5A1F"/>
    <w:rsid w:val="00A01ABF"/>
    <w:rsid w:val="00A025C6"/>
    <w:rsid w:val="00A056EA"/>
    <w:rsid w:val="00A06220"/>
    <w:rsid w:val="00A072F6"/>
    <w:rsid w:val="00A1126A"/>
    <w:rsid w:val="00A1528D"/>
    <w:rsid w:val="00A152C7"/>
    <w:rsid w:val="00A173EF"/>
    <w:rsid w:val="00A3431C"/>
    <w:rsid w:val="00A346F1"/>
    <w:rsid w:val="00A533A5"/>
    <w:rsid w:val="00A550BA"/>
    <w:rsid w:val="00A56032"/>
    <w:rsid w:val="00A61D57"/>
    <w:rsid w:val="00A62CBC"/>
    <w:rsid w:val="00A678AC"/>
    <w:rsid w:val="00A67CEE"/>
    <w:rsid w:val="00A71D05"/>
    <w:rsid w:val="00A83752"/>
    <w:rsid w:val="00A84B9D"/>
    <w:rsid w:val="00A86532"/>
    <w:rsid w:val="00A930AA"/>
    <w:rsid w:val="00A96B15"/>
    <w:rsid w:val="00AA6A3F"/>
    <w:rsid w:val="00AA78B1"/>
    <w:rsid w:val="00AB7C28"/>
    <w:rsid w:val="00AC0A00"/>
    <w:rsid w:val="00AC1BC3"/>
    <w:rsid w:val="00AC3779"/>
    <w:rsid w:val="00AC4160"/>
    <w:rsid w:val="00AC4CCE"/>
    <w:rsid w:val="00AD20BB"/>
    <w:rsid w:val="00AD692C"/>
    <w:rsid w:val="00AF2276"/>
    <w:rsid w:val="00AF79F5"/>
    <w:rsid w:val="00B04908"/>
    <w:rsid w:val="00B05A95"/>
    <w:rsid w:val="00B06ADE"/>
    <w:rsid w:val="00B073BB"/>
    <w:rsid w:val="00B14131"/>
    <w:rsid w:val="00B15248"/>
    <w:rsid w:val="00B15C7C"/>
    <w:rsid w:val="00B16616"/>
    <w:rsid w:val="00B166D3"/>
    <w:rsid w:val="00B20435"/>
    <w:rsid w:val="00B240F1"/>
    <w:rsid w:val="00B24E8F"/>
    <w:rsid w:val="00B312FB"/>
    <w:rsid w:val="00B31F66"/>
    <w:rsid w:val="00B37273"/>
    <w:rsid w:val="00B57F29"/>
    <w:rsid w:val="00B6278E"/>
    <w:rsid w:val="00B647E1"/>
    <w:rsid w:val="00B724CD"/>
    <w:rsid w:val="00B7516B"/>
    <w:rsid w:val="00B850C5"/>
    <w:rsid w:val="00B86A3A"/>
    <w:rsid w:val="00B871FD"/>
    <w:rsid w:val="00B92C02"/>
    <w:rsid w:val="00B9360A"/>
    <w:rsid w:val="00B93C78"/>
    <w:rsid w:val="00B962E0"/>
    <w:rsid w:val="00BA2E45"/>
    <w:rsid w:val="00BA3631"/>
    <w:rsid w:val="00BB2A2C"/>
    <w:rsid w:val="00BB38FE"/>
    <w:rsid w:val="00BC014B"/>
    <w:rsid w:val="00BD4AAF"/>
    <w:rsid w:val="00BE4134"/>
    <w:rsid w:val="00BE5DE1"/>
    <w:rsid w:val="00BF0B3B"/>
    <w:rsid w:val="00BF24C8"/>
    <w:rsid w:val="00C0357D"/>
    <w:rsid w:val="00C165B9"/>
    <w:rsid w:val="00C21682"/>
    <w:rsid w:val="00C21CEB"/>
    <w:rsid w:val="00C24C0D"/>
    <w:rsid w:val="00C30B4F"/>
    <w:rsid w:val="00C318A1"/>
    <w:rsid w:val="00C31C7F"/>
    <w:rsid w:val="00C37125"/>
    <w:rsid w:val="00C44017"/>
    <w:rsid w:val="00C52B3C"/>
    <w:rsid w:val="00C6194D"/>
    <w:rsid w:val="00C65CA1"/>
    <w:rsid w:val="00C66212"/>
    <w:rsid w:val="00C663BA"/>
    <w:rsid w:val="00C67447"/>
    <w:rsid w:val="00C7015A"/>
    <w:rsid w:val="00C701DE"/>
    <w:rsid w:val="00C7251C"/>
    <w:rsid w:val="00C72ED0"/>
    <w:rsid w:val="00C9244D"/>
    <w:rsid w:val="00C93B5B"/>
    <w:rsid w:val="00C957D0"/>
    <w:rsid w:val="00C96496"/>
    <w:rsid w:val="00CA0875"/>
    <w:rsid w:val="00CA17C1"/>
    <w:rsid w:val="00CA2972"/>
    <w:rsid w:val="00CA3107"/>
    <w:rsid w:val="00CB18E1"/>
    <w:rsid w:val="00CB47F2"/>
    <w:rsid w:val="00CB7F52"/>
    <w:rsid w:val="00CC6591"/>
    <w:rsid w:val="00CC6DD9"/>
    <w:rsid w:val="00CD0687"/>
    <w:rsid w:val="00CD0D9E"/>
    <w:rsid w:val="00CD36BA"/>
    <w:rsid w:val="00CD37BD"/>
    <w:rsid w:val="00CD3821"/>
    <w:rsid w:val="00CF551F"/>
    <w:rsid w:val="00CF771B"/>
    <w:rsid w:val="00D01998"/>
    <w:rsid w:val="00D11190"/>
    <w:rsid w:val="00D1305F"/>
    <w:rsid w:val="00D17E22"/>
    <w:rsid w:val="00D17EEF"/>
    <w:rsid w:val="00D20927"/>
    <w:rsid w:val="00D2655D"/>
    <w:rsid w:val="00D26DC2"/>
    <w:rsid w:val="00D2708E"/>
    <w:rsid w:val="00D30CF4"/>
    <w:rsid w:val="00D3211A"/>
    <w:rsid w:val="00D36660"/>
    <w:rsid w:val="00D36FBC"/>
    <w:rsid w:val="00D57B11"/>
    <w:rsid w:val="00D61445"/>
    <w:rsid w:val="00D61FB3"/>
    <w:rsid w:val="00D72D50"/>
    <w:rsid w:val="00D832BD"/>
    <w:rsid w:val="00D84CEE"/>
    <w:rsid w:val="00D95A0D"/>
    <w:rsid w:val="00DA6A2D"/>
    <w:rsid w:val="00DA7EEA"/>
    <w:rsid w:val="00DB0012"/>
    <w:rsid w:val="00DB213A"/>
    <w:rsid w:val="00DB2429"/>
    <w:rsid w:val="00DB2F85"/>
    <w:rsid w:val="00DC3E32"/>
    <w:rsid w:val="00DD1209"/>
    <w:rsid w:val="00DD12EB"/>
    <w:rsid w:val="00DD6A2F"/>
    <w:rsid w:val="00DD7594"/>
    <w:rsid w:val="00DE1C73"/>
    <w:rsid w:val="00DE239D"/>
    <w:rsid w:val="00DE5195"/>
    <w:rsid w:val="00DE588A"/>
    <w:rsid w:val="00DF0604"/>
    <w:rsid w:val="00DF3550"/>
    <w:rsid w:val="00DF42FE"/>
    <w:rsid w:val="00E03EA3"/>
    <w:rsid w:val="00E12651"/>
    <w:rsid w:val="00E150A9"/>
    <w:rsid w:val="00E37ED3"/>
    <w:rsid w:val="00E5017A"/>
    <w:rsid w:val="00E50605"/>
    <w:rsid w:val="00E536FB"/>
    <w:rsid w:val="00E55C9D"/>
    <w:rsid w:val="00E640C4"/>
    <w:rsid w:val="00E67936"/>
    <w:rsid w:val="00E76E89"/>
    <w:rsid w:val="00E83147"/>
    <w:rsid w:val="00E85A82"/>
    <w:rsid w:val="00EB0F43"/>
    <w:rsid w:val="00EB3D3E"/>
    <w:rsid w:val="00EC3FD5"/>
    <w:rsid w:val="00EC7D28"/>
    <w:rsid w:val="00ED1EB6"/>
    <w:rsid w:val="00ED3488"/>
    <w:rsid w:val="00EE6EF8"/>
    <w:rsid w:val="00EE70A7"/>
    <w:rsid w:val="00EF594C"/>
    <w:rsid w:val="00F02056"/>
    <w:rsid w:val="00F03D54"/>
    <w:rsid w:val="00F05233"/>
    <w:rsid w:val="00F0586E"/>
    <w:rsid w:val="00F06F39"/>
    <w:rsid w:val="00F12015"/>
    <w:rsid w:val="00F1342A"/>
    <w:rsid w:val="00F150D2"/>
    <w:rsid w:val="00F17BF2"/>
    <w:rsid w:val="00F20DF1"/>
    <w:rsid w:val="00F2227E"/>
    <w:rsid w:val="00F30B41"/>
    <w:rsid w:val="00F461E8"/>
    <w:rsid w:val="00F46A62"/>
    <w:rsid w:val="00F47ECD"/>
    <w:rsid w:val="00F51B8F"/>
    <w:rsid w:val="00F543FA"/>
    <w:rsid w:val="00F60569"/>
    <w:rsid w:val="00F67F4D"/>
    <w:rsid w:val="00F7640B"/>
    <w:rsid w:val="00F81B50"/>
    <w:rsid w:val="00F95623"/>
    <w:rsid w:val="00FA5251"/>
    <w:rsid w:val="00FA5B4B"/>
    <w:rsid w:val="00FA6BBE"/>
    <w:rsid w:val="00FC0DE4"/>
    <w:rsid w:val="00FD1BDD"/>
    <w:rsid w:val="00FD3BBF"/>
    <w:rsid w:val="00FD48FB"/>
    <w:rsid w:val="00FD4ABC"/>
    <w:rsid w:val="00FD7BFF"/>
    <w:rsid w:val="00FE4E64"/>
    <w:rsid w:val="00FE77A0"/>
    <w:rsid w:val="00FF637E"/>
    <w:rsid w:val="00FF6FA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64510"/>
  <w15:docId w15:val="{2A979143-E9ED-4109-A107-CB72882F1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30B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30B4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0357D"/>
    <w:pPr>
      <w:ind w:left="720"/>
      <w:contextualSpacing/>
    </w:pPr>
  </w:style>
  <w:style w:type="table" w:styleId="Tablaconcuadrcula">
    <w:name w:val="Table Grid"/>
    <w:basedOn w:val="Tablanormal"/>
    <w:uiPriority w:val="39"/>
    <w:rsid w:val="00015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11">
    <w:name w:val="Tabla de cuadrícula 4 - Énfasis 11"/>
    <w:basedOn w:val="Tablanormal"/>
    <w:uiPriority w:val="49"/>
    <w:rsid w:val="0001525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cuadrcula4-nfasis51">
    <w:name w:val="Tabla de cuadrícula 4 - Énfasis 51"/>
    <w:basedOn w:val="Tablanormal"/>
    <w:uiPriority w:val="49"/>
    <w:rsid w:val="0001525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lista3-nfasis51">
    <w:name w:val="Tabla de lista 3 - Énfasis 51"/>
    <w:basedOn w:val="Tablanormal"/>
    <w:uiPriority w:val="48"/>
    <w:rsid w:val="0001525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Tabladelista3-nfasis11">
    <w:name w:val="Tabla de lista 3 - Énfasis 11"/>
    <w:basedOn w:val="Tablaconcuadrcula8"/>
    <w:uiPriority w:val="48"/>
    <w:rsid w:val="0001525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Pr>
    <w:tcPr>
      <w:shd w:val="clear" w:color="auto" w:fill="auto"/>
    </w:tcPr>
    <w:tblStylePr w:type="firstRow">
      <w:rPr>
        <w:b/>
        <w:bCs/>
        <w:color w:val="FFFFFF" w:themeColor="background1"/>
      </w:rPr>
      <w:tblPr/>
      <w:tcPr>
        <w:tcBorders>
          <w:tl2br w:val="none" w:sz="0" w:space="0" w:color="auto"/>
          <w:tr2bl w:val="none" w:sz="0" w:space="0" w:color="auto"/>
        </w:tcBorders>
        <w:shd w:val="clear" w:color="auto" w:fill="5B9BD5" w:themeFill="accent1"/>
      </w:tcPr>
    </w:tblStylePr>
    <w:tblStylePr w:type="lastRow">
      <w:rPr>
        <w:b/>
        <w:bCs/>
        <w:color w:val="auto"/>
      </w:rPr>
      <w:tblPr/>
      <w:tcPr>
        <w:tcBorders>
          <w:top w:val="double" w:sz="4" w:space="0" w:color="5B9BD5" w:themeColor="accent1"/>
          <w:tl2br w:val="none" w:sz="0" w:space="0" w:color="auto"/>
          <w:tr2bl w:val="none" w:sz="0" w:space="0" w:color="auto"/>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color w:val="auto"/>
      </w:rPr>
      <w:tblPr/>
      <w:tcPr>
        <w:tcBorders>
          <w:left w:val="nil"/>
          <w:tl2br w:val="none" w:sz="0" w:space="0" w:color="auto"/>
          <w:tr2bl w:val="none" w:sz="0" w:space="0" w:color="auto"/>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Estilo1">
    <w:name w:val="Estilo1"/>
    <w:basedOn w:val="Tablamoderna"/>
    <w:uiPriority w:val="99"/>
    <w:rsid w:val="00015259"/>
    <w:pPr>
      <w:spacing w:after="0" w:line="240" w:lineRule="auto"/>
    </w:p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concuadrcula8">
    <w:name w:val="Table Grid 8"/>
    <w:basedOn w:val="Tablanormal"/>
    <w:uiPriority w:val="99"/>
    <w:semiHidden/>
    <w:unhideWhenUsed/>
    <w:rsid w:val="0001525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Ttulo1Car">
    <w:name w:val="Título 1 Car"/>
    <w:basedOn w:val="Fuentedeprrafopredeter"/>
    <w:link w:val="Ttulo1"/>
    <w:uiPriority w:val="9"/>
    <w:rsid w:val="00C30B4F"/>
    <w:rPr>
      <w:rFonts w:asciiTheme="majorHAnsi" w:eastAsiaTheme="majorEastAsia" w:hAnsiTheme="majorHAnsi" w:cstheme="majorBidi"/>
      <w:color w:val="2E74B5" w:themeColor="accent1" w:themeShade="BF"/>
      <w:sz w:val="32"/>
      <w:szCs w:val="32"/>
    </w:rPr>
  </w:style>
  <w:style w:type="table" w:styleId="Tablamoderna">
    <w:name w:val="Table Contemporary"/>
    <w:basedOn w:val="Tablanormal"/>
    <w:uiPriority w:val="99"/>
    <w:semiHidden/>
    <w:unhideWhenUsed/>
    <w:rsid w:val="0001525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tuloTDC">
    <w:name w:val="TOC Heading"/>
    <w:basedOn w:val="Ttulo1"/>
    <w:next w:val="Normal"/>
    <w:uiPriority w:val="39"/>
    <w:unhideWhenUsed/>
    <w:qFormat/>
    <w:rsid w:val="00C30B4F"/>
    <w:pPr>
      <w:outlineLvl w:val="9"/>
    </w:pPr>
    <w:rPr>
      <w:lang w:eastAsia="es-CL"/>
    </w:rPr>
  </w:style>
  <w:style w:type="paragraph" w:styleId="TDC2">
    <w:name w:val="toc 2"/>
    <w:basedOn w:val="Normal"/>
    <w:next w:val="Normal"/>
    <w:autoRedefine/>
    <w:uiPriority w:val="39"/>
    <w:unhideWhenUsed/>
    <w:rsid w:val="00C37125"/>
    <w:pPr>
      <w:tabs>
        <w:tab w:val="left" w:pos="720"/>
        <w:tab w:val="right" w:leader="dot" w:pos="8828"/>
      </w:tabs>
      <w:spacing w:after="100"/>
      <w:ind w:left="709"/>
    </w:pPr>
    <w:rPr>
      <w:rFonts w:eastAsiaTheme="minorEastAsia" w:cs="Times New Roman"/>
      <w:lang w:eastAsia="es-CL"/>
    </w:rPr>
  </w:style>
  <w:style w:type="paragraph" w:styleId="TDC1">
    <w:name w:val="toc 1"/>
    <w:basedOn w:val="Normal"/>
    <w:next w:val="Normal"/>
    <w:autoRedefine/>
    <w:uiPriority w:val="39"/>
    <w:unhideWhenUsed/>
    <w:rsid w:val="00D36660"/>
    <w:pPr>
      <w:numPr>
        <w:numId w:val="6"/>
      </w:numPr>
      <w:tabs>
        <w:tab w:val="left" w:pos="720"/>
        <w:tab w:val="right" w:leader="dot" w:pos="8828"/>
      </w:tabs>
      <w:spacing w:after="100"/>
      <w:ind w:hanging="436"/>
    </w:pPr>
    <w:rPr>
      <w:rFonts w:eastAsiaTheme="minorEastAsia" w:cs="Times New Roman"/>
      <w:b/>
      <w:lang w:eastAsia="es-CL"/>
    </w:rPr>
  </w:style>
  <w:style w:type="paragraph" w:styleId="TDC3">
    <w:name w:val="toc 3"/>
    <w:basedOn w:val="Normal"/>
    <w:next w:val="Normal"/>
    <w:autoRedefine/>
    <w:uiPriority w:val="39"/>
    <w:unhideWhenUsed/>
    <w:rsid w:val="00C30B4F"/>
    <w:pPr>
      <w:spacing w:after="100"/>
      <w:ind w:left="440"/>
    </w:pPr>
    <w:rPr>
      <w:rFonts w:eastAsiaTheme="minorEastAsia" w:cs="Times New Roman"/>
      <w:lang w:eastAsia="es-CL"/>
    </w:rPr>
  </w:style>
  <w:style w:type="character" w:customStyle="1" w:styleId="Ttulo2Car">
    <w:name w:val="Título 2 Car"/>
    <w:basedOn w:val="Fuentedeprrafopredeter"/>
    <w:link w:val="Ttulo2"/>
    <w:uiPriority w:val="9"/>
    <w:rsid w:val="00C30B4F"/>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E37E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7ED3"/>
  </w:style>
  <w:style w:type="paragraph" w:styleId="Piedepgina">
    <w:name w:val="footer"/>
    <w:basedOn w:val="Normal"/>
    <w:link w:val="PiedepginaCar"/>
    <w:uiPriority w:val="99"/>
    <w:unhideWhenUsed/>
    <w:rsid w:val="00E37E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7ED3"/>
  </w:style>
  <w:style w:type="paragraph" w:styleId="Textodeglobo">
    <w:name w:val="Balloon Text"/>
    <w:basedOn w:val="Normal"/>
    <w:link w:val="TextodegloboCar"/>
    <w:uiPriority w:val="99"/>
    <w:semiHidden/>
    <w:unhideWhenUsed/>
    <w:rsid w:val="00445E7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45E79"/>
    <w:rPr>
      <w:rFonts w:ascii="Segoe UI" w:hAnsi="Segoe UI" w:cs="Segoe UI"/>
      <w:sz w:val="18"/>
      <w:szCs w:val="18"/>
    </w:rPr>
  </w:style>
  <w:style w:type="character" w:styleId="Hipervnculo">
    <w:name w:val="Hyperlink"/>
    <w:basedOn w:val="Fuentedeprrafopredeter"/>
    <w:uiPriority w:val="99"/>
    <w:unhideWhenUsed/>
    <w:rsid w:val="00D84CEE"/>
    <w:rPr>
      <w:color w:val="0563C1" w:themeColor="hyperlink"/>
      <w:u w:val="single"/>
    </w:rPr>
  </w:style>
  <w:style w:type="character" w:styleId="Refdecomentario">
    <w:name w:val="annotation reference"/>
    <w:basedOn w:val="Fuentedeprrafopredeter"/>
    <w:uiPriority w:val="99"/>
    <w:semiHidden/>
    <w:unhideWhenUsed/>
    <w:rsid w:val="00CC6591"/>
    <w:rPr>
      <w:sz w:val="16"/>
      <w:szCs w:val="16"/>
    </w:rPr>
  </w:style>
  <w:style w:type="paragraph" w:styleId="Textocomentario">
    <w:name w:val="annotation text"/>
    <w:basedOn w:val="Normal"/>
    <w:link w:val="TextocomentarioCar"/>
    <w:uiPriority w:val="99"/>
    <w:semiHidden/>
    <w:unhideWhenUsed/>
    <w:rsid w:val="00CC659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C6591"/>
    <w:rPr>
      <w:sz w:val="20"/>
      <w:szCs w:val="20"/>
    </w:rPr>
  </w:style>
  <w:style w:type="paragraph" w:styleId="Asuntodelcomentario">
    <w:name w:val="annotation subject"/>
    <w:basedOn w:val="Textocomentario"/>
    <w:next w:val="Textocomentario"/>
    <w:link w:val="AsuntodelcomentarioCar"/>
    <w:uiPriority w:val="99"/>
    <w:semiHidden/>
    <w:unhideWhenUsed/>
    <w:rsid w:val="00CC6591"/>
    <w:rPr>
      <w:b/>
      <w:bCs/>
    </w:rPr>
  </w:style>
  <w:style w:type="character" w:customStyle="1" w:styleId="AsuntodelcomentarioCar">
    <w:name w:val="Asunto del comentario Car"/>
    <w:basedOn w:val="TextocomentarioCar"/>
    <w:link w:val="Asuntodelcomentario"/>
    <w:uiPriority w:val="99"/>
    <w:semiHidden/>
    <w:rsid w:val="00CC6591"/>
    <w:rPr>
      <w:b/>
      <w:bCs/>
      <w:sz w:val="20"/>
      <w:szCs w:val="20"/>
    </w:rPr>
  </w:style>
  <w:style w:type="paragraph" w:styleId="Revisin">
    <w:name w:val="Revision"/>
    <w:hidden/>
    <w:uiPriority w:val="99"/>
    <w:semiHidden/>
    <w:rsid w:val="00997826"/>
    <w:pPr>
      <w:spacing w:after="0" w:line="240" w:lineRule="auto"/>
    </w:pPr>
  </w:style>
  <w:style w:type="paragraph" w:customStyle="1" w:styleId="Default">
    <w:name w:val="Default"/>
    <w:rsid w:val="00132D4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500623">
      <w:bodyDiv w:val="1"/>
      <w:marLeft w:val="0"/>
      <w:marRight w:val="0"/>
      <w:marTop w:val="0"/>
      <w:marBottom w:val="0"/>
      <w:divBdr>
        <w:top w:val="none" w:sz="0" w:space="0" w:color="auto"/>
        <w:left w:val="none" w:sz="0" w:space="0" w:color="auto"/>
        <w:bottom w:val="none" w:sz="0" w:space="0" w:color="auto"/>
        <w:right w:val="none" w:sz="0" w:space="0" w:color="auto"/>
      </w:divBdr>
    </w:div>
    <w:div w:id="801115804">
      <w:bodyDiv w:val="1"/>
      <w:marLeft w:val="0"/>
      <w:marRight w:val="0"/>
      <w:marTop w:val="0"/>
      <w:marBottom w:val="0"/>
      <w:divBdr>
        <w:top w:val="none" w:sz="0" w:space="0" w:color="auto"/>
        <w:left w:val="none" w:sz="0" w:space="0" w:color="auto"/>
        <w:bottom w:val="none" w:sz="0" w:space="0" w:color="auto"/>
        <w:right w:val="none" w:sz="0" w:space="0" w:color="auto"/>
      </w:divBdr>
    </w:div>
    <w:div w:id="873886492">
      <w:bodyDiv w:val="1"/>
      <w:marLeft w:val="0"/>
      <w:marRight w:val="0"/>
      <w:marTop w:val="0"/>
      <w:marBottom w:val="0"/>
      <w:divBdr>
        <w:top w:val="none" w:sz="0" w:space="0" w:color="auto"/>
        <w:left w:val="none" w:sz="0" w:space="0" w:color="auto"/>
        <w:bottom w:val="none" w:sz="0" w:space="0" w:color="auto"/>
        <w:right w:val="none" w:sz="0" w:space="0" w:color="auto"/>
      </w:divBdr>
    </w:div>
    <w:div w:id="919026214">
      <w:bodyDiv w:val="1"/>
      <w:marLeft w:val="0"/>
      <w:marRight w:val="0"/>
      <w:marTop w:val="0"/>
      <w:marBottom w:val="0"/>
      <w:divBdr>
        <w:top w:val="none" w:sz="0" w:space="0" w:color="auto"/>
        <w:left w:val="none" w:sz="0" w:space="0" w:color="auto"/>
        <w:bottom w:val="none" w:sz="0" w:space="0" w:color="auto"/>
        <w:right w:val="none" w:sz="0" w:space="0" w:color="auto"/>
      </w:divBdr>
    </w:div>
    <w:div w:id="958730688">
      <w:bodyDiv w:val="1"/>
      <w:marLeft w:val="0"/>
      <w:marRight w:val="0"/>
      <w:marTop w:val="0"/>
      <w:marBottom w:val="0"/>
      <w:divBdr>
        <w:top w:val="none" w:sz="0" w:space="0" w:color="auto"/>
        <w:left w:val="none" w:sz="0" w:space="0" w:color="auto"/>
        <w:bottom w:val="none" w:sz="0" w:space="0" w:color="auto"/>
        <w:right w:val="none" w:sz="0" w:space="0" w:color="auto"/>
      </w:divBdr>
    </w:div>
    <w:div w:id="960918840">
      <w:bodyDiv w:val="1"/>
      <w:marLeft w:val="0"/>
      <w:marRight w:val="0"/>
      <w:marTop w:val="0"/>
      <w:marBottom w:val="0"/>
      <w:divBdr>
        <w:top w:val="none" w:sz="0" w:space="0" w:color="auto"/>
        <w:left w:val="none" w:sz="0" w:space="0" w:color="auto"/>
        <w:bottom w:val="none" w:sz="0" w:space="0" w:color="auto"/>
        <w:right w:val="none" w:sz="0" w:space="0" w:color="auto"/>
      </w:divBdr>
    </w:div>
    <w:div w:id="992030767">
      <w:bodyDiv w:val="1"/>
      <w:marLeft w:val="0"/>
      <w:marRight w:val="0"/>
      <w:marTop w:val="0"/>
      <w:marBottom w:val="0"/>
      <w:divBdr>
        <w:top w:val="none" w:sz="0" w:space="0" w:color="auto"/>
        <w:left w:val="none" w:sz="0" w:space="0" w:color="auto"/>
        <w:bottom w:val="none" w:sz="0" w:space="0" w:color="auto"/>
        <w:right w:val="none" w:sz="0" w:space="0" w:color="auto"/>
      </w:divBdr>
    </w:div>
    <w:div w:id="1088891058">
      <w:bodyDiv w:val="1"/>
      <w:marLeft w:val="0"/>
      <w:marRight w:val="0"/>
      <w:marTop w:val="0"/>
      <w:marBottom w:val="0"/>
      <w:divBdr>
        <w:top w:val="none" w:sz="0" w:space="0" w:color="auto"/>
        <w:left w:val="none" w:sz="0" w:space="0" w:color="auto"/>
        <w:bottom w:val="none" w:sz="0" w:space="0" w:color="auto"/>
        <w:right w:val="none" w:sz="0" w:space="0" w:color="auto"/>
      </w:divBdr>
    </w:div>
    <w:div w:id="1197234444">
      <w:bodyDiv w:val="1"/>
      <w:marLeft w:val="0"/>
      <w:marRight w:val="0"/>
      <w:marTop w:val="0"/>
      <w:marBottom w:val="0"/>
      <w:divBdr>
        <w:top w:val="none" w:sz="0" w:space="0" w:color="auto"/>
        <w:left w:val="none" w:sz="0" w:space="0" w:color="auto"/>
        <w:bottom w:val="none" w:sz="0" w:space="0" w:color="auto"/>
        <w:right w:val="none" w:sz="0" w:space="0" w:color="auto"/>
      </w:divBdr>
    </w:div>
    <w:div w:id="1516580021">
      <w:bodyDiv w:val="1"/>
      <w:marLeft w:val="0"/>
      <w:marRight w:val="0"/>
      <w:marTop w:val="0"/>
      <w:marBottom w:val="0"/>
      <w:divBdr>
        <w:top w:val="none" w:sz="0" w:space="0" w:color="auto"/>
        <w:left w:val="none" w:sz="0" w:space="0" w:color="auto"/>
        <w:bottom w:val="none" w:sz="0" w:space="0" w:color="auto"/>
        <w:right w:val="none" w:sz="0" w:space="0" w:color="auto"/>
      </w:divBdr>
    </w:div>
    <w:div w:id="152209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137E1-1C8C-4183-B979-27E90C149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28</Pages>
  <Words>10232</Words>
  <Characters>56277</Characters>
  <Application>Microsoft Office Word</Application>
  <DocSecurity>0</DocSecurity>
  <Lines>468</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Villegas Verasay</dc:creator>
  <cp:lastModifiedBy>Carmen Villegas Verasay</cp:lastModifiedBy>
  <cp:revision>8</cp:revision>
  <cp:lastPrinted>2020-01-29T16:01:00Z</cp:lastPrinted>
  <dcterms:created xsi:type="dcterms:W3CDTF">2020-01-29T13:21:00Z</dcterms:created>
  <dcterms:modified xsi:type="dcterms:W3CDTF">2020-01-29T16:07:00Z</dcterms:modified>
</cp:coreProperties>
</file>